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3C44E8">
              <w:rPr>
                <w:rFonts w:ascii="Arial" w:hAnsi="Arial" w:cs="Arial"/>
                <w:bCs/>
                <w:smallCaps/>
                <w:color w:val="4F81BD"/>
                <w:lang w:val="fr-FR"/>
              </w:rPr>
              <w:t>06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3C44E8">
              <w:rPr>
                <w:rFonts w:ascii="Arial" w:hAnsi="Arial" w:cs="Arial"/>
                <w:bCs/>
                <w:smallCaps/>
                <w:color w:val="4F81BD"/>
                <w:lang w:val="fr-FR"/>
              </w:rPr>
              <w:t>octobre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3C44E8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3C44E8">
              <w:rPr>
                <w:rFonts w:ascii="Arial" w:hAnsi="Arial" w:cs="Arial"/>
                <w:bCs/>
                <w:smallCaps/>
                <w:color w:val="4F81BD"/>
              </w:rPr>
              <w:t>06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3C44E8">
              <w:rPr>
                <w:rFonts w:ascii="Arial" w:hAnsi="Arial" w:cs="Arial"/>
                <w:bCs/>
                <w:smallCaps/>
                <w:color w:val="4F81BD"/>
              </w:rPr>
              <w:t>oktober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3C44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3C44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P/A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223DEC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</w:t>
                  </w:r>
                  <w:r w:rsidR="003C44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(Président)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223DEC" w:rsidRDefault="00223DEC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  <w:p w:rsidR="00223DEC" w:rsidRDefault="00B25A53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Duby Grégory</w:t>
                  </w:r>
                </w:p>
                <w:p w:rsidR="00B25A53" w:rsidRDefault="003C44E8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Lambot Damien</w:t>
                  </w:r>
                </w:p>
                <w:p w:rsidR="006F7132" w:rsidRPr="00B25A53" w:rsidRDefault="006F7132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  <w:p w:rsidR="00113EE2" w:rsidRDefault="00113EE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  <w:p w:rsidR="00B25A53" w:rsidRPr="006F7132" w:rsidRDefault="003C44E8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Driesmans Christophe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07F" w:rsidRPr="0080641E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CB1306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lastRenderedPageBreak/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3C44E8" w:rsidRDefault="003C44E8" w:rsidP="00957A1E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3C44E8">
        <w:rPr>
          <w:rFonts w:ascii="Arial" w:hAnsi="Arial" w:cs="Arial"/>
          <w:sz w:val="20"/>
          <w:szCs w:val="20"/>
          <w:lang w:val="fr-BE"/>
        </w:rPr>
        <w:t xml:space="preserve">Remarque de Marianne Van Malderen concernant </w:t>
      </w:r>
      <w:r>
        <w:rPr>
          <w:rFonts w:ascii="Arial" w:hAnsi="Arial" w:cs="Arial"/>
          <w:sz w:val="20"/>
          <w:szCs w:val="20"/>
          <w:lang w:val="fr-BE"/>
        </w:rPr>
        <w:t>le point Varia présenté par Thierry Roisin. Il faut faire attention au pharmacien hospitalier qui ne pourront plus prescrire le dispositif aux patient et que la patient soit remboursé.</w:t>
      </w:r>
    </w:p>
    <w:p w:rsidR="0099218D" w:rsidRPr="003C44E8" w:rsidRDefault="0099218D" w:rsidP="0050249B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140BEE" w:rsidRPr="00196E55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876954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7D5805" w:rsidRPr="00FF7A22" w:rsidRDefault="00FF7A22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 w:rsidR="00C13AFF"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 w:rsidR="00C13AF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C13AFF">
        <w:rPr>
          <w:rFonts w:ascii="Arial" w:hAnsi="Arial" w:cs="Arial"/>
          <w:sz w:val="20"/>
          <w:szCs w:val="20"/>
          <w:lang w:val="nl-BE"/>
        </w:rPr>
        <w:t xml:space="preserve"> présenté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7523C9" w:rsidRDefault="005F7137" w:rsidP="005F7137">
      <w:pPr>
        <w:ind w:left="2160"/>
        <w:rPr>
          <w:rFonts w:ascii="Arial" w:hAnsi="Arial" w:cs="Arial"/>
          <w:sz w:val="20"/>
          <w:szCs w:val="20"/>
          <w:lang w:val="fr-BE"/>
        </w:rPr>
      </w:pPr>
    </w:p>
    <w:p w:rsidR="00140BEE" w:rsidRPr="001A2366" w:rsidRDefault="00184721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F7A22" w:rsidRDefault="00586115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9</w:t>
      </w:r>
      <w:r w:rsidR="00FF7A22" w:rsidRPr="00370D74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FF7A22">
        <w:rPr>
          <w:rFonts w:ascii="Arial" w:hAnsi="Arial" w:cs="Arial"/>
          <w:sz w:val="20"/>
          <w:szCs w:val="20"/>
          <w:lang w:val="nl-BE"/>
        </w:rPr>
        <w:t>s</w:t>
      </w:r>
      <w:r w:rsidR="00FF7A22"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 w:rsidR="00FF7A22">
        <w:rPr>
          <w:rFonts w:ascii="Arial" w:hAnsi="Arial" w:cs="Arial"/>
          <w:sz w:val="20"/>
          <w:szCs w:val="20"/>
          <w:lang w:val="nl-BE"/>
        </w:rPr>
        <w:t xml:space="preserve">werd </w:t>
      </w:r>
      <w:r w:rsidR="00FF7A22" w:rsidRPr="00370D74">
        <w:rPr>
          <w:rFonts w:ascii="Arial" w:hAnsi="Arial" w:cs="Arial"/>
          <w:sz w:val="20"/>
          <w:szCs w:val="20"/>
          <w:lang w:val="nl-BE"/>
        </w:rPr>
        <w:t>monde</w:t>
      </w:r>
      <w:r w:rsidR="00FF7A22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9</w:t>
      </w:r>
      <w:r w:rsidR="00FF7A2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F7A22" w:rsidRPr="00F331B2">
        <w:rPr>
          <w:rFonts w:ascii="Arial" w:hAnsi="Arial" w:cs="Arial"/>
          <w:sz w:val="20"/>
          <w:szCs w:val="20"/>
          <w:lang w:val="nl-BE"/>
        </w:rPr>
        <w:t>dossier</w:t>
      </w:r>
      <w:r w:rsidR="00FF7A22">
        <w:rPr>
          <w:rFonts w:ascii="Arial" w:hAnsi="Arial" w:cs="Arial"/>
          <w:sz w:val="20"/>
          <w:szCs w:val="20"/>
          <w:lang w:val="nl-BE"/>
        </w:rPr>
        <w:t xml:space="preserve">s ont </w:t>
      </w:r>
      <w:proofErr w:type="spellStart"/>
      <w:r w:rsidR="00FF7A22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FF7A2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 w:rsidR="00FF7A2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FF7A22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FF7A22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FF7A22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FF7A22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FF7A22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FF7A22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FF7A22" w:rsidRDefault="00FF7A22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FF7A22" w:rsidRPr="007D5805" w:rsidRDefault="00FF7A22" w:rsidP="00586115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 </w:t>
      </w:r>
      <w:r w:rsidR="00586115">
        <w:rPr>
          <w:rFonts w:ascii="Arial" w:hAnsi="Arial" w:cs="Arial"/>
          <w:color w:val="1F497D" w:themeColor="text2"/>
          <w:sz w:val="20"/>
          <w:szCs w:val="20"/>
          <w:lang w:val="nl-BE"/>
        </w:rPr>
        <w:t>19907 (GDY)</w:t>
      </w:r>
      <w:r w:rsidR="000058A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</w:t>
      </w:r>
    </w:p>
    <w:p w:rsidR="00FF7A22" w:rsidRPr="00E5630A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Dossier 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20152</w:t>
      </w: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(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GDY</w:t>
      </w:r>
      <w:r w:rsidR="000058A9">
        <w:rPr>
          <w:rFonts w:ascii="Arial" w:hAnsi="Arial" w:cs="Arial"/>
          <w:color w:val="1F497D" w:themeColor="text2"/>
          <w:sz w:val="20"/>
          <w:szCs w:val="20"/>
          <w:lang w:val="fr-BE"/>
        </w:rPr>
        <w:t>) </w:t>
      </w:r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Dossier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202</w:t>
      </w:r>
      <w:r w:rsidR="000A1F4F">
        <w:rPr>
          <w:rFonts w:ascii="Arial" w:hAnsi="Arial" w:cs="Arial"/>
          <w:color w:val="1F497D" w:themeColor="text2"/>
          <w:sz w:val="20"/>
          <w:szCs w:val="20"/>
          <w:lang w:val="fr-BE"/>
        </w:rPr>
        <w:t>9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9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(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CCV</w:t>
      </w:r>
      <w:r w:rsidR="000058A9">
        <w:rPr>
          <w:rFonts w:ascii="Arial" w:hAnsi="Arial" w:cs="Arial"/>
          <w:color w:val="1F497D" w:themeColor="text2"/>
          <w:sz w:val="20"/>
          <w:szCs w:val="20"/>
          <w:lang w:val="fr-BE"/>
        </w:rPr>
        <w:t>) </w:t>
      </w:r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Dossier </w:t>
      </w:r>
      <w:r w:rsidR="00586115">
        <w:rPr>
          <w:rFonts w:ascii="Arial" w:hAnsi="Arial" w:cs="Arial"/>
          <w:color w:val="1F497D" w:themeColor="text2"/>
          <w:sz w:val="20"/>
          <w:szCs w:val="20"/>
          <w:lang w:val="fr-BE"/>
        </w:rPr>
        <w:t>20361</w:t>
      </w:r>
      <w:r w:rsidR="000058A9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(CCV) </w:t>
      </w:r>
    </w:p>
    <w:p w:rsidR="00FF7A22" w:rsidRPr="001F771C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Dossiers </w:t>
      </w:r>
      <w:r w:rsidR="00586115"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>20394</w:t>
      </w:r>
      <w:r w:rsidR="000058A9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(CCV) </w:t>
      </w:r>
    </w:p>
    <w:p w:rsidR="00FF7A22" w:rsidRPr="001F771C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Dossier </w:t>
      </w:r>
      <w:r w:rsidR="00586115"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>20469</w:t>
      </w:r>
      <w:r w:rsidR="000058A9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(CCV) </w:t>
      </w:r>
    </w:p>
    <w:p w:rsidR="00FF7A22" w:rsidRPr="001F771C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Dossier </w:t>
      </w:r>
      <w:r w:rsidR="00586115"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>20648</w:t>
      </w:r>
      <w:r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(D</w:t>
      </w:r>
      <w:r w:rsidR="00E632F0" w:rsidRPr="001F771C">
        <w:rPr>
          <w:rFonts w:ascii="Arial" w:hAnsi="Arial" w:cs="Arial"/>
          <w:color w:val="1F497D" w:themeColor="text2"/>
          <w:sz w:val="20"/>
          <w:szCs w:val="20"/>
          <w:lang w:val="en-US"/>
        </w:rPr>
        <w:t>LT</w:t>
      </w:r>
      <w:r w:rsidR="000058A9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) </w:t>
      </w:r>
    </w:p>
    <w:p w:rsidR="00586115" w:rsidRDefault="00586115" w:rsidP="00586115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nl-BE"/>
        </w:rPr>
      </w:pP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 </w:t>
      </w:r>
      <w:r>
        <w:rPr>
          <w:rFonts w:ascii="Arial" w:hAnsi="Arial" w:cs="Arial"/>
          <w:color w:val="1F497D" w:themeColor="text2"/>
          <w:sz w:val="20"/>
          <w:szCs w:val="20"/>
          <w:lang w:val="nl-BE"/>
        </w:rPr>
        <w:t>20670</w:t>
      </w: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(DAT)</w:t>
      </w:r>
      <w:r w:rsidR="000058A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</w:t>
      </w:r>
    </w:p>
    <w:p w:rsidR="00586115" w:rsidRDefault="00586115" w:rsidP="00586115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nl-BE"/>
        </w:rPr>
      </w:pP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 </w:t>
      </w:r>
      <w:r>
        <w:rPr>
          <w:rFonts w:ascii="Arial" w:hAnsi="Arial" w:cs="Arial"/>
          <w:color w:val="1F497D" w:themeColor="text2"/>
          <w:sz w:val="20"/>
          <w:szCs w:val="20"/>
          <w:lang w:val="nl-BE"/>
        </w:rPr>
        <w:t>20760</w:t>
      </w:r>
      <w:r w:rsidR="00E632F0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(CCV</w:t>
      </w: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)</w:t>
      </w:r>
      <w:r w:rsidR="000058A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</w:t>
      </w:r>
    </w:p>
    <w:p w:rsidR="000058A9" w:rsidRDefault="000058A9" w:rsidP="000058A9">
      <w:pPr>
        <w:pStyle w:val="Paragraphedeliste"/>
        <w:spacing w:line="360" w:lineRule="auto"/>
        <w:ind w:left="1080"/>
        <w:rPr>
          <w:rFonts w:ascii="Arial" w:hAnsi="Arial" w:cs="Arial"/>
          <w:color w:val="1F497D" w:themeColor="text2"/>
          <w:sz w:val="20"/>
          <w:szCs w:val="20"/>
          <w:lang w:val="nl-BE"/>
        </w:rPr>
      </w:pPr>
    </w:p>
    <w:p w:rsidR="000058A9" w:rsidRDefault="000058A9" w:rsidP="000058A9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0058A9">
        <w:rPr>
          <w:rFonts w:ascii="Arial" w:hAnsi="Arial" w:cs="Arial"/>
          <w:sz w:val="20"/>
          <w:szCs w:val="20"/>
          <w:lang w:val="nl-BE"/>
        </w:rPr>
        <w:t xml:space="preserve">49 FSCA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sont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soumis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à la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/ 49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werden voorgelegd aan de Commissie</w:t>
      </w:r>
    </w:p>
    <w:p w:rsidR="000058A9" w:rsidRDefault="000058A9" w:rsidP="000058A9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lastRenderedPageBreak/>
        <w:t xml:space="preserve">Precise Treatment Table, </w:t>
      </w:r>
      <w:proofErr w:type="spellStart"/>
      <w:r w:rsidRPr="000058A9">
        <w:rPr>
          <w:lang w:val="en-GB"/>
        </w:rPr>
        <w:t>Elekta</w:t>
      </w:r>
      <w:proofErr w:type="spellEnd"/>
      <w:r w:rsidRPr="000058A9">
        <w:rPr>
          <w:lang w:val="en-GB"/>
        </w:rPr>
        <w:t xml:space="preserve"> Ltd (See FSN 16005)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EPIQ 5, Philips Health Care (See FSN 17736)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Astral 150, </w:t>
      </w:r>
      <w:proofErr w:type="spellStart"/>
      <w:r w:rsidRPr="000058A9">
        <w:rPr>
          <w:lang w:val="en-GB"/>
        </w:rPr>
        <w:t>ResMed</w:t>
      </w:r>
      <w:proofErr w:type="spellEnd"/>
      <w:r w:rsidRPr="000058A9">
        <w:rPr>
          <w:lang w:val="en-GB"/>
        </w:rPr>
        <w:t xml:space="preserve">  Ltd (See FSN 17753)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 zee Floor,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 zee Biplane,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 zee MP / AXIOM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>, Siemens AG (See FSN 17882)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Cardiosave</w:t>
      </w:r>
      <w:proofErr w:type="spellEnd"/>
      <w:r w:rsidRPr="000058A9">
        <w:rPr>
          <w:lang w:val="en-GB"/>
        </w:rPr>
        <w:t xml:space="preserve"> Hybrid/Rescue IABP, </w:t>
      </w:r>
      <w:proofErr w:type="spellStart"/>
      <w:r w:rsidRPr="000058A9">
        <w:rPr>
          <w:lang w:val="en-GB"/>
        </w:rPr>
        <w:t>Maquet</w:t>
      </w:r>
      <w:proofErr w:type="spellEnd"/>
      <w:r w:rsidRPr="000058A9">
        <w:rPr>
          <w:lang w:val="en-GB"/>
        </w:rPr>
        <w:t xml:space="preserve"> Cardiovascular LLC (See FSN 19201)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NeoCoil</w:t>
      </w:r>
      <w:proofErr w:type="spellEnd"/>
      <w:r w:rsidRPr="000058A9">
        <w:rPr>
          <w:lang w:val="en-GB"/>
        </w:rPr>
        <w:t xml:space="preserve">, </w:t>
      </w:r>
      <w:proofErr w:type="spellStart"/>
      <w:r w:rsidRPr="000058A9">
        <w:rPr>
          <w:lang w:val="en-GB"/>
        </w:rPr>
        <w:t>NeoCoil</w:t>
      </w:r>
      <w:proofErr w:type="spellEnd"/>
      <w:r w:rsidRPr="000058A9">
        <w:rPr>
          <w:lang w:val="en-GB"/>
        </w:rPr>
        <w:t>, LLC (Pewaukee) (See FSN 19501)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FRED EASY, Schiller Medical SAS (See FSN 19639)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Essure</w:t>
      </w:r>
      <w:proofErr w:type="spellEnd"/>
      <w:r w:rsidRPr="000058A9">
        <w:rPr>
          <w:lang w:val="en-GB"/>
        </w:rPr>
        <w:t>, Bayer Healthcare LLC (See FSN 19669)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LightSheer</w:t>
      </w:r>
      <w:proofErr w:type="spellEnd"/>
      <w:r w:rsidRPr="000058A9">
        <w:rPr>
          <w:lang w:val="en-GB"/>
        </w:rPr>
        <w:t xml:space="preserve"> DESIRE, </w:t>
      </w:r>
      <w:proofErr w:type="spellStart"/>
      <w:r w:rsidRPr="000058A9">
        <w:rPr>
          <w:lang w:val="en-GB"/>
        </w:rPr>
        <w:t>Lumenis</w:t>
      </w:r>
      <w:proofErr w:type="spellEnd"/>
      <w:r w:rsidRPr="000058A9">
        <w:rPr>
          <w:lang w:val="en-GB"/>
        </w:rPr>
        <w:t xml:space="preserve"> Ltd (See FSN 19814)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D-</w:t>
      </w:r>
      <w:proofErr w:type="spellStart"/>
      <w:r w:rsidRPr="000058A9">
        <w:rPr>
          <w:lang w:val="en-GB"/>
        </w:rPr>
        <w:t>Vapor</w:t>
      </w:r>
      <w:proofErr w:type="spellEnd"/>
      <w:r w:rsidRPr="000058A9">
        <w:rPr>
          <w:lang w:val="en-GB"/>
        </w:rPr>
        <w:t>; D-</w:t>
      </w:r>
      <w:proofErr w:type="spellStart"/>
      <w:r w:rsidRPr="000058A9">
        <w:rPr>
          <w:lang w:val="en-GB"/>
        </w:rPr>
        <w:t>Vapor</w:t>
      </w:r>
      <w:proofErr w:type="spellEnd"/>
      <w:r w:rsidRPr="000058A9">
        <w:rPr>
          <w:lang w:val="en-GB"/>
        </w:rPr>
        <w:t xml:space="preserve"> 3000, </w:t>
      </w:r>
      <w:proofErr w:type="spellStart"/>
      <w:r w:rsidRPr="000058A9">
        <w:rPr>
          <w:lang w:val="en-GB"/>
        </w:rPr>
        <w:t>Dräger</w:t>
      </w:r>
      <w:proofErr w:type="spellEnd"/>
      <w:r w:rsidRPr="000058A9">
        <w:rPr>
          <w:lang w:val="en-GB"/>
        </w:rPr>
        <w:t xml:space="preserve"> Medical (See FSN 19926)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CS ELITE FASTPACK, 225ML, </w:t>
      </w:r>
      <w:proofErr w:type="spellStart"/>
      <w:r w:rsidRPr="000058A9">
        <w:rPr>
          <w:lang w:val="en-GB"/>
        </w:rPr>
        <w:t>Haemonetics</w:t>
      </w:r>
      <w:proofErr w:type="spellEnd"/>
      <w:r w:rsidRPr="000058A9">
        <w:rPr>
          <w:lang w:val="en-GB"/>
        </w:rPr>
        <w:t xml:space="preserve"> Corp USA (See FSN 19989)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Biomet Sports Medicine and Trauma (See FSN 19990)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Distal Plug, Biomet France SARL (See FSN 20028)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fr-BE"/>
        </w:rPr>
      </w:pPr>
      <w:r w:rsidRPr="000058A9">
        <w:rPr>
          <w:lang w:val="fr-BE"/>
        </w:rPr>
        <w:t>clou diaphysaire EXTREME ; quille longue pour PTG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UNI SCORE® </w:t>
      </w:r>
      <w:proofErr w:type="spellStart"/>
      <w:r w:rsidRPr="000058A9">
        <w:rPr>
          <w:lang w:val="en-GB"/>
        </w:rPr>
        <w:t>tibial</w:t>
      </w:r>
      <w:proofErr w:type="spellEnd"/>
      <w:r w:rsidRPr="000058A9">
        <w:rPr>
          <w:lang w:val="en-GB"/>
        </w:rPr>
        <w:t xml:space="preserve"> tray for fixed bearing insert – HA coated – </w:t>
      </w:r>
      <w:proofErr w:type="spellStart"/>
      <w:r w:rsidRPr="000058A9">
        <w:rPr>
          <w:lang w:val="en-GB"/>
        </w:rPr>
        <w:t>cementless</w:t>
      </w:r>
      <w:proofErr w:type="spellEnd"/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UNI SCORE® </w:t>
      </w:r>
      <w:proofErr w:type="spellStart"/>
      <w:r w:rsidRPr="000058A9">
        <w:rPr>
          <w:lang w:val="en-GB"/>
        </w:rPr>
        <w:t>tibial</w:t>
      </w:r>
      <w:proofErr w:type="spellEnd"/>
      <w:r w:rsidRPr="000058A9">
        <w:rPr>
          <w:lang w:val="en-GB"/>
        </w:rPr>
        <w:t xml:space="preserve"> tray for mobile bearing insert - HA coated - </w:t>
      </w:r>
      <w:proofErr w:type="spellStart"/>
      <w:r w:rsidRPr="000058A9">
        <w:rPr>
          <w:lang w:val="en-GB"/>
        </w:rPr>
        <w:t>cementless</w:t>
      </w:r>
      <w:proofErr w:type="spellEnd"/>
      <w:r w:rsidRPr="000058A9">
        <w:rPr>
          <w:lang w:val="en-GB"/>
        </w:rPr>
        <w:t xml:space="preserve">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UNI SCORE® </w:t>
      </w:r>
      <w:proofErr w:type="spellStart"/>
      <w:r w:rsidRPr="000058A9">
        <w:rPr>
          <w:lang w:val="en-GB"/>
        </w:rPr>
        <w:t>tibial</w:t>
      </w:r>
      <w:proofErr w:type="spellEnd"/>
      <w:r w:rsidRPr="000058A9">
        <w:rPr>
          <w:lang w:val="en-GB"/>
        </w:rPr>
        <w:t xml:space="preserve"> tray for fixed bearing insert - HA coated - </w:t>
      </w:r>
      <w:proofErr w:type="spellStart"/>
      <w:r w:rsidRPr="000058A9">
        <w:rPr>
          <w:lang w:val="en-GB"/>
        </w:rPr>
        <w:t>cementless</w:t>
      </w:r>
      <w:proofErr w:type="spellEnd"/>
      <w:r w:rsidRPr="000058A9">
        <w:rPr>
          <w:lang w:val="en-GB"/>
        </w:rPr>
        <w:t xml:space="preserve"> - RM / LL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UNI SCORE® </w:t>
      </w:r>
      <w:proofErr w:type="spellStart"/>
      <w:r w:rsidRPr="000058A9">
        <w:rPr>
          <w:lang w:val="en-GB"/>
        </w:rPr>
        <w:t>tibial</w:t>
      </w:r>
      <w:proofErr w:type="spellEnd"/>
      <w:r w:rsidRPr="000058A9">
        <w:rPr>
          <w:lang w:val="en-GB"/>
        </w:rPr>
        <w:t xml:space="preserve"> tray for fixed bearing insert - HA coated - </w:t>
      </w:r>
      <w:proofErr w:type="spellStart"/>
      <w:r w:rsidRPr="000058A9">
        <w:rPr>
          <w:lang w:val="en-GB"/>
        </w:rPr>
        <w:t>cementless</w:t>
      </w:r>
      <w:proofErr w:type="spellEnd"/>
      <w:r w:rsidRPr="000058A9">
        <w:rPr>
          <w:lang w:val="en-GB"/>
        </w:rPr>
        <w:t xml:space="preserve"> - LM/ RL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UNI SCORE® femoral component – HA coated – </w:t>
      </w:r>
      <w:proofErr w:type="spellStart"/>
      <w:r w:rsidRPr="000058A9">
        <w:rPr>
          <w:lang w:val="en-GB"/>
        </w:rPr>
        <w:t>cementless</w:t>
      </w:r>
      <w:proofErr w:type="spellEnd"/>
      <w:r w:rsidRPr="000058A9">
        <w:rPr>
          <w:lang w:val="en-GB"/>
        </w:rPr>
        <w:t xml:space="preserve">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EXTREME® </w:t>
      </w:r>
      <w:proofErr w:type="spellStart"/>
      <w:r w:rsidRPr="000058A9">
        <w:rPr>
          <w:lang w:val="en-GB"/>
        </w:rPr>
        <w:t>diaphyseal</w:t>
      </w:r>
      <w:proofErr w:type="spellEnd"/>
      <w:r w:rsidRPr="000058A9">
        <w:rPr>
          <w:lang w:val="en-GB"/>
        </w:rPr>
        <w:t xml:space="preserve"> nail – HA coated – </w:t>
      </w:r>
      <w:proofErr w:type="spellStart"/>
      <w:r w:rsidRPr="000058A9">
        <w:rPr>
          <w:lang w:val="en-GB"/>
        </w:rPr>
        <w:t>cementless</w:t>
      </w:r>
      <w:proofErr w:type="spellEnd"/>
      <w:r w:rsidRPr="000058A9">
        <w:rPr>
          <w:lang w:val="en-GB"/>
        </w:rPr>
        <w:t xml:space="preserve">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INITIALE® modular femoral stem - Cemented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INITIALE® modular dysplastic femoral stem - Cemented 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>INITIALE® modular revision femoral stem - Cemented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Extension stem for Total Knee Prosthesis - Cemented </w:t>
      </w:r>
    </w:p>
    <w:p w:rsidR="000058A9" w:rsidRPr="00BC1578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Allergy Solution extension stem for Total Knee Prosthesis – Cemented </w:t>
      </w:r>
      <w:r w:rsidR="00BC1578">
        <w:rPr>
          <w:lang w:val="en-GB"/>
        </w:rPr>
        <w:t>Amplitude (See FSN 20145)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Prism0Cal B22, Gambro </w:t>
      </w:r>
      <w:proofErr w:type="spellStart"/>
      <w:r w:rsidRPr="000058A9">
        <w:rPr>
          <w:lang w:val="en-GB"/>
        </w:rPr>
        <w:t>Dasco</w:t>
      </w:r>
      <w:proofErr w:type="spellEnd"/>
      <w:r w:rsidRPr="000058A9">
        <w:rPr>
          <w:lang w:val="en-GB"/>
        </w:rPr>
        <w:t xml:space="preserve"> </w:t>
      </w:r>
      <w:proofErr w:type="spellStart"/>
      <w:r w:rsidRPr="000058A9">
        <w:rPr>
          <w:lang w:val="en-GB"/>
        </w:rPr>
        <w:t>Sondalo</w:t>
      </w:r>
      <w:proofErr w:type="spellEnd"/>
      <w:r w:rsidRPr="000058A9">
        <w:rPr>
          <w:lang w:val="en-GB"/>
        </w:rPr>
        <w:t xml:space="preserve"> (See FSN 20300)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AUTOPLEX SYSTEM, Stryker Instruments-Kalamazoo (See FSN 20392)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Merge PACS, Merge Healthcare (See FSN 20436)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Merge PACS, Merge Healthcare (See FSN 20437)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ArcRoyal</w:t>
      </w:r>
      <w:proofErr w:type="spellEnd"/>
      <w:r w:rsidRPr="000058A9">
        <w:rPr>
          <w:lang w:val="en-GB"/>
        </w:rPr>
        <w:t xml:space="preserve"> </w:t>
      </w:r>
      <w:proofErr w:type="spellStart"/>
      <w:r w:rsidRPr="000058A9">
        <w:rPr>
          <w:lang w:val="en-GB"/>
        </w:rPr>
        <w:t>Metalline</w:t>
      </w:r>
      <w:proofErr w:type="spellEnd"/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>BE0120 Thyroid procedure tray, BEA207 Lumbar arthrodesis laminectomy,</w:t>
      </w:r>
    </w:p>
    <w:p w:rsidR="000058A9" w:rsidRPr="00BC1578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>BE0290 Breast reduction / abdominoplasty, BE0283 Post merger set, BE0278 Combination</w:t>
      </w:r>
      <w:r w:rsidR="00BC1578">
        <w:rPr>
          <w:lang w:val="en-GB"/>
        </w:rPr>
        <w:t xml:space="preserve"> </w:t>
      </w:r>
      <w:r w:rsidRPr="00BC1578">
        <w:rPr>
          <w:lang w:val="en-GB"/>
        </w:rPr>
        <w:t>se</w:t>
      </w:r>
      <w:r w:rsidR="00BC1578">
        <w:rPr>
          <w:lang w:val="en-GB"/>
        </w:rPr>
        <w:t xml:space="preserve">t, </w:t>
      </w:r>
      <w:proofErr w:type="spellStart"/>
      <w:r w:rsidR="00BC1578">
        <w:rPr>
          <w:lang w:val="en-GB"/>
        </w:rPr>
        <w:t>ArcRoyal</w:t>
      </w:r>
      <w:proofErr w:type="spellEnd"/>
      <w:r w:rsidR="00BC1578">
        <w:rPr>
          <w:lang w:val="en-GB"/>
        </w:rPr>
        <w:t xml:space="preserve"> Ltd (See FSN 20461)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RayStation</w:t>
      </w:r>
      <w:proofErr w:type="spellEnd"/>
      <w:r w:rsidRPr="000058A9">
        <w:rPr>
          <w:lang w:val="en-GB"/>
        </w:rPr>
        <w:t xml:space="preserve">, </w:t>
      </w:r>
      <w:proofErr w:type="spellStart"/>
      <w:r w:rsidRPr="000058A9">
        <w:rPr>
          <w:lang w:val="en-GB"/>
        </w:rPr>
        <w:t>RaySearch</w:t>
      </w:r>
      <w:proofErr w:type="spellEnd"/>
      <w:r w:rsidRPr="000058A9">
        <w:rPr>
          <w:lang w:val="en-GB"/>
        </w:rPr>
        <w:t xml:space="preserve"> Laboratories AB (See FSN 20465)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PROGRESSA BED SYSTEM, HILL-ROM (See FSN 20467)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CONSERVE® Shell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>DYNASTY® Metal Liner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>PROCOTYL® Metal Liner</w:t>
      </w:r>
    </w:p>
    <w:p w:rsidR="000058A9" w:rsidRPr="000058A9" w:rsidRDefault="000058A9" w:rsidP="00BC1578">
      <w:pPr>
        <w:pStyle w:val="Paragraphedeliste"/>
        <w:rPr>
          <w:lang w:val="en-GB"/>
        </w:rPr>
      </w:pPr>
      <w:r w:rsidRPr="000058A9">
        <w:rPr>
          <w:lang w:val="en-GB"/>
        </w:rPr>
        <w:t xml:space="preserve">LINEAGE® Metal Liner, </w:t>
      </w:r>
      <w:proofErr w:type="spellStart"/>
      <w:r w:rsidRPr="000058A9">
        <w:rPr>
          <w:lang w:val="en-GB"/>
        </w:rPr>
        <w:t>MicroPort</w:t>
      </w:r>
      <w:proofErr w:type="spellEnd"/>
      <w:r w:rsidRPr="000058A9">
        <w:rPr>
          <w:lang w:val="en-GB"/>
        </w:rPr>
        <w:t xml:space="preserve"> </w:t>
      </w:r>
      <w:proofErr w:type="spellStart"/>
      <w:r w:rsidRPr="000058A9">
        <w:rPr>
          <w:lang w:val="en-GB"/>
        </w:rPr>
        <w:t>O</w:t>
      </w:r>
      <w:r w:rsidR="00BC1578">
        <w:rPr>
          <w:lang w:val="en-GB"/>
        </w:rPr>
        <w:t>rthopedics</w:t>
      </w:r>
      <w:proofErr w:type="spellEnd"/>
      <w:r w:rsidR="00BC1578">
        <w:rPr>
          <w:lang w:val="en-GB"/>
        </w:rPr>
        <w:t xml:space="preserve"> Inc. (See FSN 20470)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NIM® Standard Reinforced EMG Endotracheal Tube, NIM Contact® Reinforced EMG Endotracheal Tube, MEDTRONIC XOMED </w:t>
      </w:r>
      <w:proofErr w:type="spellStart"/>
      <w:r w:rsidRPr="000058A9">
        <w:rPr>
          <w:lang w:val="en-GB"/>
        </w:rPr>
        <w:t>Inc</w:t>
      </w:r>
      <w:proofErr w:type="spellEnd"/>
      <w:r w:rsidRPr="000058A9">
        <w:rPr>
          <w:lang w:val="en-GB"/>
        </w:rPr>
        <w:t xml:space="preserve"> (See FSN 20481)</w:t>
      </w:r>
    </w:p>
    <w:p w:rsidR="000058A9" w:rsidRPr="00BC1578" w:rsidRDefault="000058A9" w:rsidP="00BC1578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BC1578">
        <w:rPr>
          <w:lang w:val="en-GB"/>
        </w:rPr>
        <w:lastRenderedPageBreak/>
        <w:t>ActiGait</w:t>
      </w:r>
      <w:proofErr w:type="spellEnd"/>
      <w:r w:rsidRPr="00BC1578">
        <w:rPr>
          <w:lang w:val="en-GB"/>
        </w:rPr>
        <w:t xml:space="preserve">(R) Implantable Drop Foot Stimulator, </w:t>
      </w:r>
      <w:proofErr w:type="spellStart"/>
      <w:r w:rsidRPr="00BC1578">
        <w:rPr>
          <w:lang w:val="en-GB"/>
        </w:rPr>
        <w:t>Neurodan</w:t>
      </w:r>
      <w:proofErr w:type="spellEnd"/>
      <w:r w:rsidRPr="00BC1578">
        <w:rPr>
          <w:lang w:val="en-GB"/>
        </w:rPr>
        <w:t xml:space="preserve"> (See FSN 20492)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Vascu</w:t>
      </w:r>
      <w:proofErr w:type="spellEnd"/>
      <w:r w:rsidRPr="000058A9">
        <w:rPr>
          <w:lang w:val="en-GB"/>
        </w:rPr>
        <w:t xml:space="preserve">-Guard Peripheral Vascular Patch, </w:t>
      </w:r>
      <w:proofErr w:type="spellStart"/>
      <w:r w:rsidRPr="000058A9">
        <w:rPr>
          <w:lang w:val="en-GB"/>
        </w:rPr>
        <w:t>Synovis</w:t>
      </w:r>
      <w:proofErr w:type="spellEnd"/>
      <w:r w:rsidRPr="000058A9">
        <w:rPr>
          <w:lang w:val="en-GB"/>
        </w:rPr>
        <w:t xml:space="preserve"> Surgical Innovation (See FSN 20502)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STIMPOD NMS410 / NMS450 Neuromuscular Stimulator, </w:t>
      </w:r>
      <w:proofErr w:type="spellStart"/>
      <w:r w:rsidRPr="000058A9">
        <w:rPr>
          <w:lang w:val="en-GB"/>
        </w:rPr>
        <w:t>Xavant</w:t>
      </w:r>
      <w:proofErr w:type="spellEnd"/>
      <w:r w:rsidRPr="000058A9">
        <w:rPr>
          <w:lang w:val="en-GB"/>
        </w:rPr>
        <w:t xml:space="preserve"> Technology (See FSN 20518)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washer/disinfector, Miele </w:t>
      </w:r>
      <w:proofErr w:type="spellStart"/>
      <w:r w:rsidRPr="000058A9">
        <w:rPr>
          <w:lang w:val="en-GB"/>
        </w:rPr>
        <w:t>Werk</w:t>
      </w:r>
      <w:proofErr w:type="spellEnd"/>
      <w:r w:rsidRPr="000058A9">
        <w:rPr>
          <w:lang w:val="en-GB"/>
        </w:rPr>
        <w:t xml:space="preserve"> </w:t>
      </w:r>
      <w:proofErr w:type="spellStart"/>
      <w:r w:rsidRPr="000058A9">
        <w:rPr>
          <w:lang w:val="en-GB"/>
        </w:rPr>
        <w:t>Burmoos</w:t>
      </w:r>
      <w:proofErr w:type="spellEnd"/>
      <w:r w:rsidRPr="000058A9">
        <w:rPr>
          <w:lang w:val="en-GB"/>
        </w:rPr>
        <w:t xml:space="preserve"> GmbH (See FSN 20528)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AXIOM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;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 zee; </w:t>
      </w:r>
      <w:proofErr w:type="spellStart"/>
      <w:r w:rsidRPr="000058A9">
        <w:rPr>
          <w:lang w:val="en-GB"/>
        </w:rPr>
        <w:t>Artis</w:t>
      </w:r>
      <w:proofErr w:type="spellEnd"/>
      <w:r w:rsidRPr="000058A9">
        <w:rPr>
          <w:lang w:val="en-GB"/>
        </w:rPr>
        <w:t xml:space="preserve"> Q/Q zen, Siemens AG (See FSN 20576)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twinSys</w:t>
      </w:r>
      <w:proofErr w:type="spellEnd"/>
      <w:r w:rsidRPr="000058A9">
        <w:rPr>
          <w:lang w:val="en-GB"/>
        </w:rPr>
        <w:t xml:space="preserve"> double offset adaptor right &amp; left, </w:t>
      </w:r>
      <w:proofErr w:type="spellStart"/>
      <w:r w:rsidRPr="000058A9">
        <w:rPr>
          <w:lang w:val="en-GB"/>
        </w:rPr>
        <w:t>Mathys</w:t>
      </w:r>
      <w:proofErr w:type="spellEnd"/>
      <w:r w:rsidRPr="000058A9">
        <w:rPr>
          <w:lang w:val="en-GB"/>
        </w:rPr>
        <w:t xml:space="preserve"> Ltd </w:t>
      </w:r>
      <w:proofErr w:type="spellStart"/>
      <w:r w:rsidRPr="000058A9">
        <w:rPr>
          <w:lang w:val="en-GB"/>
        </w:rPr>
        <w:t>Bettlach</w:t>
      </w:r>
      <w:proofErr w:type="spellEnd"/>
      <w:r w:rsidRPr="000058A9">
        <w:rPr>
          <w:lang w:val="en-GB"/>
        </w:rPr>
        <w:t xml:space="preserve"> (See FSN 20604)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WHIPKNOT Soft Tissue Cinch #5 Sutures, Smith &amp; Nephew USA (See FSN 20609)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NobPrl</w:t>
      </w:r>
      <w:proofErr w:type="spellEnd"/>
      <w:r w:rsidRPr="000058A9">
        <w:rPr>
          <w:lang w:val="en-GB"/>
        </w:rPr>
        <w:t xml:space="preserve"> CC Guided Surgery Kit, Nobel </w:t>
      </w:r>
      <w:proofErr w:type="spellStart"/>
      <w:r w:rsidRPr="000058A9">
        <w:rPr>
          <w:lang w:val="en-GB"/>
        </w:rPr>
        <w:t>Biocare</w:t>
      </w:r>
      <w:proofErr w:type="spellEnd"/>
      <w:r w:rsidRPr="000058A9">
        <w:rPr>
          <w:lang w:val="en-GB"/>
        </w:rPr>
        <w:t xml:space="preserve"> AB (See FSN 20625)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O-arm® 1000 Surgical Imaging System, O-arm® O2 Surgical Imaging System, Medtronic Navigation Inc. (See FSN 20630)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DFM </w:t>
      </w:r>
      <w:proofErr w:type="spellStart"/>
      <w:r w:rsidRPr="000058A9">
        <w:rPr>
          <w:lang w:val="en-GB"/>
        </w:rPr>
        <w:t>Transcatheter</w:t>
      </w:r>
      <w:proofErr w:type="spellEnd"/>
      <w:r w:rsidRPr="000058A9">
        <w:rPr>
          <w:lang w:val="en-GB"/>
        </w:rPr>
        <w:t xml:space="preserve"> Aortic Valve System, Direct Flow </w:t>
      </w:r>
      <w:proofErr w:type="spellStart"/>
      <w:r w:rsidRPr="000058A9">
        <w:rPr>
          <w:lang w:val="en-GB"/>
        </w:rPr>
        <w:t>Inc</w:t>
      </w:r>
      <w:proofErr w:type="spellEnd"/>
      <w:r w:rsidRPr="000058A9">
        <w:rPr>
          <w:lang w:val="en-GB"/>
        </w:rPr>
        <w:t xml:space="preserve"> (See FSN 20641)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Sterile RENASYS™ Transparent Film, Smith &amp; Nephew (See FSN 20651)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fr-BE"/>
        </w:rPr>
      </w:pPr>
      <w:r w:rsidRPr="000058A9">
        <w:rPr>
          <w:lang w:val="fr-BE"/>
        </w:rPr>
        <w:t xml:space="preserve">Implant rotulien de </w:t>
      </w:r>
      <w:proofErr w:type="spellStart"/>
      <w:r w:rsidRPr="000058A9">
        <w:rPr>
          <w:lang w:val="fr-BE"/>
        </w:rPr>
        <w:t>resurfacage</w:t>
      </w:r>
      <w:proofErr w:type="spellEnd"/>
      <w:r w:rsidRPr="000058A9">
        <w:rPr>
          <w:lang w:val="fr-BE"/>
        </w:rPr>
        <w:t xml:space="preserve"> </w:t>
      </w:r>
      <w:proofErr w:type="spellStart"/>
      <w:r w:rsidRPr="000058A9">
        <w:rPr>
          <w:lang w:val="fr-BE"/>
        </w:rPr>
        <w:t>a</w:t>
      </w:r>
      <w:proofErr w:type="spellEnd"/>
      <w:r w:rsidRPr="000058A9">
        <w:rPr>
          <w:lang w:val="fr-BE"/>
        </w:rPr>
        <w:t xml:space="preserve"> cimenter </w:t>
      </w:r>
      <w:proofErr w:type="spellStart"/>
      <w:r w:rsidRPr="000058A9">
        <w:rPr>
          <w:lang w:val="fr-BE"/>
        </w:rPr>
        <w:t>diametre</w:t>
      </w:r>
      <w:proofErr w:type="spellEnd"/>
      <w:r w:rsidRPr="000058A9">
        <w:rPr>
          <w:lang w:val="fr-BE"/>
        </w:rPr>
        <w:t xml:space="preserve"> 36 mm, Amplitude (</w:t>
      </w:r>
      <w:proofErr w:type="spellStart"/>
      <w:r w:rsidRPr="000058A9">
        <w:rPr>
          <w:lang w:val="fr-BE"/>
        </w:rPr>
        <w:t>See</w:t>
      </w:r>
      <w:proofErr w:type="spellEnd"/>
      <w:r w:rsidRPr="000058A9">
        <w:rPr>
          <w:lang w:val="fr-BE"/>
        </w:rPr>
        <w:t xml:space="preserve"> FSN 20698)</w:t>
      </w:r>
    </w:p>
    <w:p w:rsidR="000058A9" w:rsidRPr="000058A9" w:rsidRDefault="00CD4E16" w:rsidP="000058A9">
      <w:pPr>
        <w:pStyle w:val="Paragraphedeliste"/>
        <w:numPr>
          <w:ilvl w:val="0"/>
          <w:numId w:val="18"/>
        </w:numPr>
        <w:rPr>
          <w:lang w:val="en-GB"/>
        </w:rPr>
      </w:pPr>
      <w:r>
        <w:rPr>
          <w:lang w:val="en-GB"/>
        </w:rPr>
        <w:t>Lotus</w:t>
      </w:r>
      <w:r w:rsidR="000058A9" w:rsidRPr="000058A9">
        <w:rPr>
          <w:lang w:val="en-GB"/>
        </w:rPr>
        <w:t xml:space="preserve"> Valve System, Boston Scientific Corporation m (See FSN 20719)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Standard Offset Cup Impactor, </w:t>
      </w:r>
      <w:proofErr w:type="spellStart"/>
      <w:r w:rsidRPr="000058A9">
        <w:rPr>
          <w:lang w:val="en-GB"/>
        </w:rPr>
        <w:t>Greatbatch</w:t>
      </w:r>
      <w:proofErr w:type="spellEnd"/>
      <w:r w:rsidRPr="000058A9">
        <w:rPr>
          <w:lang w:val="en-GB"/>
        </w:rPr>
        <w:t xml:space="preserve"> Medical (See FSN 20751)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nl-BE"/>
        </w:rPr>
      </w:pPr>
      <w:proofErr w:type="spellStart"/>
      <w:r w:rsidRPr="000058A9">
        <w:rPr>
          <w:lang w:val="en-GB"/>
        </w:rPr>
        <w:t>AcrySof</w:t>
      </w:r>
      <w:proofErr w:type="spellEnd"/>
      <w:r w:rsidRPr="000058A9">
        <w:rPr>
          <w:lang w:val="en-GB"/>
        </w:rPr>
        <w:t xml:space="preserve">® IQ IOL with ULTRASERT™ Delivery System, Alcon Laboratories Inc. </w:t>
      </w:r>
      <w:r w:rsidRPr="000058A9">
        <w:rPr>
          <w:lang w:val="nl-BE"/>
        </w:rPr>
        <w:t>(See FSN 20759)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nl-BE"/>
        </w:rPr>
      </w:pPr>
      <w:r w:rsidRPr="000058A9">
        <w:rPr>
          <w:lang w:val="nl-BE"/>
        </w:rPr>
        <w:t xml:space="preserve">T2 </w:t>
      </w:r>
      <w:proofErr w:type="spellStart"/>
      <w:r w:rsidRPr="000058A9">
        <w:rPr>
          <w:lang w:val="nl-BE"/>
        </w:rPr>
        <w:t>Kirschner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1p (T2 </w:t>
      </w:r>
      <w:proofErr w:type="spellStart"/>
      <w:r w:rsidRPr="000058A9">
        <w:rPr>
          <w:lang w:val="nl-BE"/>
        </w:rPr>
        <w:t>Kirschner</w:t>
      </w:r>
      <w:proofErr w:type="spellEnd"/>
      <w:r w:rsidRPr="000058A9">
        <w:rPr>
          <w:lang w:val="nl-BE"/>
        </w:rPr>
        <w:t>-draad 1x)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>MET IM PEN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GAM </w:t>
      </w:r>
      <w:proofErr w:type="spellStart"/>
      <w:r w:rsidRPr="000058A9">
        <w:rPr>
          <w:lang w:val="nl-BE"/>
        </w:rPr>
        <w:t>Kirschner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(GAM </w:t>
      </w:r>
      <w:proofErr w:type="spellStart"/>
      <w:r w:rsidRPr="000058A9">
        <w:rPr>
          <w:lang w:val="nl-BE"/>
        </w:rPr>
        <w:t>Kirschner</w:t>
      </w:r>
      <w:proofErr w:type="spellEnd"/>
      <w:r w:rsidRPr="000058A9">
        <w:rPr>
          <w:lang w:val="nl-BE"/>
        </w:rPr>
        <w:t>-draad)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>G3 K-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>, UNS-Thread (G3 K-draad, UNS-schroefdraad)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>GAM Guide Pin D4xL400 (GAM geleidepen D4xL400)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>G3 K-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with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Washer</w:t>
      </w:r>
      <w:proofErr w:type="spellEnd"/>
      <w:r w:rsidRPr="000058A9">
        <w:rPr>
          <w:lang w:val="nl-BE"/>
        </w:rPr>
        <w:t xml:space="preserve"> (G3 K-draad met ring)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>T2 K-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(T2 K-draad)</w:t>
      </w:r>
    </w:p>
    <w:p w:rsidR="000058A9" w:rsidRPr="000058A9" w:rsidRDefault="00CD4E16" w:rsidP="00CD4E16">
      <w:pPr>
        <w:pStyle w:val="Paragraphedeliste"/>
        <w:rPr>
          <w:lang w:val="nl-BE"/>
        </w:rPr>
      </w:pPr>
      <w:r>
        <w:rPr>
          <w:lang w:val="nl-BE"/>
        </w:rPr>
        <w:t>K-</w:t>
      </w:r>
      <w:proofErr w:type="spellStart"/>
      <w:r>
        <w:rPr>
          <w:lang w:val="nl-BE"/>
        </w:rPr>
        <w:t>Wire</w:t>
      </w:r>
      <w:proofErr w:type="spellEnd"/>
      <w:r>
        <w:rPr>
          <w:lang w:val="nl-BE"/>
        </w:rPr>
        <w:t xml:space="preserve"> </w:t>
      </w:r>
      <w:r w:rsidR="000058A9" w:rsidRPr="000058A9">
        <w:rPr>
          <w:lang w:val="nl-BE"/>
        </w:rPr>
        <w:t xml:space="preserve">3 </w:t>
      </w:r>
      <w:proofErr w:type="spellStart"/>
      <w:r w:rsidR="000058A9" w:rsidRPr="000058A9">
        <w:rPr>
          <w:lang w:val="nl-BE"/>
        </w:rPr>
        <w:t>with</w:t>
      </w:r>
      <w:proofErr w:type="spellEnd"/>
      <w:r w:rsidR="000058A9" w:rsidRPr="000058A9">
        <w:rPr>
          <w:lang w:val="nl-BE"/>
        </w:rPr>
        <w:t xml:space="preserve"> </w:t>
      </w:r>
      <w:proofErr w:type="spellStart"/>
      <w:r w:rsidR="000058A9" w:rsidRPr="000058A9">
        <w:rPr>
          <w:lang w:val="nl-BE"/>
        </w:rPr>
        <w:t>Washer</w:t>
      </w:r>
      <w:proofErr w:type="spellEnd"/>
      <w:r w:rsidR="000058A9" w:rsidRPr="000058A9">
        <w:rPr>
          <w:lang w:val="nl-BE"/>
        </w:rPr>
        <w:t xml:space="preserve"> (K-draad ?3 met ring)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T2 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Ball Tip (T2 voerdraad bol-opzetstuk)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T2 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(T2 voerdraad)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ball</w:t>
      </w:r>
      <w:proofErr w:type="spellEnd"/>
      <w:r w:rsidRPr="000058A9">
        <w:rPr>
          <w:lang w:val="nl-BE"/>
        </w:rPr>
        <w:t xml:space="preserve"> </w:t>
      </w:r>
      <w:proofErr w:type="spellStart"/>
      <w:r w:rsidRPr="000058A9">
        <w:rPr>
          <w:lang w:val="nl-BE"/>
        </w:rPr>
        <w:t>tipped</w:t>
      </w:r>
      <w:proofErr w:type="spellEnd"/>
      <w:r w:rsidRPr="000058A9">
        <w:rPr>
          <w:lang w:val="nl-BE"/>
        </w:rPr>
        <w:t xml:space="preserve"> (Voerdraad met bol-opzetstuk)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T2 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Ball Tip (T2 voerdraad bol-opzetstuk)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T2 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(T2 voerdraad)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T2 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(T2 voerdraad)</w:t>
      </w:r>
    </w:p>
    <w:p w:rsidR="000058A9" w:rsidRPr="000058A9" w:rsidRDefault="000058A9" w:rsidP="00CD4E16">
      <w:pPr>
        <w:pStyle w:val="Paragraphedeliste"/>
        <w:rPr>
          <w:lang w:val="nl-BE"/>
        </w:rPr>
      </w:pPr>
      <w:r w:rsidRPr="000058A9">
        <w:rPr>
          <w:lang w:val="nl-BE"/>
        </w:rPr>
        <w:t xml:space="preserve">Guide </w:t>
      </w:r>
      <w:proofErr w:type="spellStart"/>
      <w:r w:rsidRPr="000058A9">
        <w:rPr>
          <w:lang w:val="nl-BE"/>
        </w:rPr>
        <w:t>Wire</w:t>
      </w:r>
      <w:proofErr w:type="spellEnd"/>
      <w:r w:rsidRPr="000058A9">
        <w:rPr>
          <w:lang w:val="nl-BE"/>
        </w:rPr>
        <w:t xml:space="preserve"> Ball Tip (Voerdraad bol-opzetstuk)</w:t>
      </w:r>
    </w:p>
    <w:p w:rsidR="000058A9" w:rsidRPr="000058A9" w:rsidRDefault="000058A9" w:rsidP="00CD4E16">
      <w:pPr>
        <w:pStyle w:val="Paragraphedeliste"/>
        <w:rPr>
          <w:lang w:val="nl-BE"/>
        </w:rPr>
      </w:pPr>
      <w:proofErr w:type="spellStart"/>
      <w:r w:rsidRPr="000058A9">
        <w:rPr>
          <w:lang w:val="nl-BE"/>
        </w:rPr>
        <w:t>Fixations</w:t>
      </w:r>
      <w:proofErr w:type="spellEnd"/>
      <w:r w:rsidRPr="000058A9">
        <w:rPr>
          <w:lang w:val="nl-BE"/>
        </w:rPr>
        <w:t xml:space="preserve"> K-</w:t>
      </w:r>
      <w:proofErr w:type="spellStart"/>
      <w:r w:rsidRPr="000058A9">
        <w:rPr>
          <w:lang w:val="nl-BE"/>
        </w:rPr>
        <w:t>Draht</w:t>
      </w:r>
      <w:proofErr w:type="spellEnd"/>
      <w:r w:rsidRPr="000058A9">
        <w:rPr>
          <w:lang w:val="nl-BE"/>
        </w:rPr>
        <w:t xml:space="preserve"> (K-draad voor fixatie)</w:t>
      </w:r>
    </w:p>
    <w:p w:rsidR="000058A9" w:rsidRPr="000058A9" w:rsidRDefault="000058A9" w:rsidP="00CD4E16">
      <w:pPr>
        <w:pStyle w:val="Paragraphedeliste"/>
        <w:rPr>
          <w:lang w:val="fr-BE"/>
        </w:rPr>
      </w:pPr>
      <w:r w:rsidRPr="000058A9">
        <w:rPr>
          <w:lang w:val="fr-BE"/>
        </w:rPr>
        <w:t>T2 K-</w:t>
      </w:r>
      <w:proofErr w:type="spellStart"/>
      <w:r w:rsidRPr="000058A9">
        <w:rPr>
          <w:lang w:val="fr-BE"/>
        </w:rPr>
        <w:t>Wire</w:t>
      </w:r>
      <w:proofErr w:type="spellEnd"/>
      <w:r w:rsidRPr="000058A9">
        <w:rPr>
          <w:lang w:val="fr-BE"/>
        </w:rPr>
        <w:t xml:space="preserve"> </w:t>
      </w:r>
      <w:proofErr w:type="spellStart"/>
      <w:r w:rsidRPr="000058A9">
        <w:rPr>
          <w:lang w:val="fr-BE"/>
        </w:rPr>
        <w:t>Recon</w:t>
      </w:r>
      <w:proofErr w:type="spellEnd"/>
      <w:r w:rsidRPr="000058A9">
        <w:rPr>
          <w:lang w:val="fr-BE"/>
        </w:rPr>
        <w:t xml:space="preserve"> (T2 K-</w:t>
      </w:r>
      <w:proofErr w:type="spellStart"/>
      <w:r w:rsidRPr="000058A9">
        <w:rPr>
          <w:lang w:val="fr-BE"/>
        </w:rPr>
        <w:t>draad</w:t>
      </w:r>
      <w:proofErr w:type="spellEnd"/>
      <w:r w:rsidRPr="000058A9">
        <w:rPr>
          <w:lang w:val="fr-BE"/>
        </w:rPr>
        <w:t xml:space="preserve"> </w:t>
      </w:r>
      <w:proofErr w:type="spellStart"/>
      <w:r w:rsidRPr="000058A9">
        <w:rPr>
          <w:lang w:val="fr-BE"/>
        </w:rPr>
        <w:t>Recon</w:t>
      </w:r>
      <w:proofErr w:type="spellEnd"/>
      <w:r w:rsidRPr="000058A9">
        <w:rPr>
          <w:lang w:val="fr-BE"/>
        </w:rPr>
        <w:t>)</w:t>
      </w:r>
    </w:p>
    <w:p w:rsidR="000058A9" w:rsidRPr="000058A9" w:rsidRDefault="000058A9" w:rsidP="00CD4E16">
      <w:pPr>
        <w:pStyle w:val="Paragraphedeliste"/>
        <w:rPr>
          <w:lang w:val="en-GB"/>
        </w:rPr>
      </w:pPr>
      <w:r w:rsidRPr="000058A9">
        <w:rPr>
          <w:lang w:val="en-GB"/>
        </w:rPr>
        <w:t>T2 K-Wire CoCr Recon (T2 K-</w:t>
      </w:r>
      <w:proofErr w:type="spellStart"/>
      <w:r w:rsidRPr="000058A9">
        <w:rPr>
          <w:lang w:val="en-GB"/>
        </w:rPr>
        <w:t>draad</w:t>
      </w:r>
      <w:proofErr w:type="spellEnd"/>
      <w:r w:rsidRPr="000058A9">
        <w:rPr>
          <w:lang w:val="en-GB"/>
        </w:rPr>
        <w:t xml:space="preserve"> Recon), STRYKER TRAUMA GmbH (See FSN 20767)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Angel Blood Access Kit, </w:t>
      </w:r>
      <w:proofErr w:type="spellStart"/>
      <w:r w:rsidRPr="000058A9">
        <w:rPr>
          <w:lang w:val="en-GB"/>
        </w:rPr>
        <w:t>Nuo</w:t>
      </w:r>
      <w:proofErr w:type="spellEnd"/>
      <w:r w:rsidRPr="000058A9">
        <w:rPr>
          <w:lang w:val="en-GB"/>
        </w:rPr>
        <w:t xml:space="preserve"> Therapeutics, Inc. (See FSN 20769)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Astral 100 and Astral 150 devices., </w:t>
      </w:r>
      <w:proofErr w:type="spellStart"/>
      <w:r w:rsidRPr="000058A9">
        <w:rPr>
          <w:lang w:val="en-GB"/>
        </w:rPr>
        <w:t>ResMed</w:t>
      </w:r>
      <w:proofErr w:type="spellEnd"/>
      <w:r w:rsidRPr="000058A9">
        <w:rPr>
          <w:lang w:val="en-GB"/>
        </w:rPr>
        <w:t xml:space="preserve">  Ltd (See FSN 20770)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Carina350EM</w:t>
      </w:r>
    </w:p>
    <w:p w:rsidR="000058A9" w:rsidRPr="000058A9" w:rsidRDefault="000058A9" w:rsidP="00CD4E16">
      <w:pPr>
        <w:pStyle w:val="Paragraphedeliste"/>
        <w:rPr>
          <w:lang w:val="en-GB"/>
        </w:rPr>
      </w:pPr>
      <w:r w:rsidRPr="000058A9">
        <w:rPr>
          <w:lang w:val="en-GB"/>
        </w:rPr>
        <w:t>Carina 350EML</w:t>
      </w:r>
    </w:p>
    <w:p w:rsidR="000058A9" w:rsidRPr="000058A9" w:rsidRDefault="000058A9" w:rsidP="00CD4E16">
      <w:pPr>
        <w:pStyle w:val="Paragraphedeliste"/>
        <w:rPr>
          <w:lang w:val="en-GB"/>
        </w:rPr>
      </w:pPr>
      <w:r w:rsidRPr="000058A9">
        <w:rPr>
          <w:lang w:val="en-GB"/>
        </w:rPr>
        <w:t>Carina 350E</w:t>
      </w:r>
      <w:r w:rsidR="00CD4E16">
        <w:rPr>
          <w:lang w:val="en-GB"/>
        </w:rPr>
        <w:t xml:space="preserve">E, </w:t>
      </w:r>
      <w:proofErr w:type="spellStart"/>
      <w:r w:rsidR="00CD4E16">
        <w:rPr>
          <w:lang w:val="en-GB"/>
        </w:rPr>
        <w:t>Handicare</w:t>
      </w:r>
      <w:proofErr w:type="spellEnd"/>
      <w:r w:rsidR="00CD4E16">
        <w:rPr>
          <w:lang w:val="en-GB"/>
        </w:rPr>
        <w:t xml:space="preserve"> AB (See FSN 20777)</w:t>
      </w:r>
    </w:p>
    <w:p w:rsidR="000058A9" w:rsidRPr="000058A9" w:rsidRDefault="00CD4E16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>
        <w:rPr>
          <w:lang w:val="en-GB"/>
        </w:rPr>
        <w:lastRenderedPageBreak/>
        <w:t>HeartWare</w:t>
      </w:r>
      <w:proofErr w:type="spellEnd"/>
      <w:r w:rsidR="000058A9" w:rsidRPr="000058A9">
        <w:rPr>
          <w:lang w:val="en-GB"/>
        </w:rPr>
        <w:t xml:space="preserve"> Ventricular Assist System, </w:t>
      </w:r>
      <w:proofErr w:type="spellStart"/>
      <w:r w:rsidR="000058A9" w:rsidRPr="000058A9">
        <w:rPr>
          <w:lang w:val="en-GB"/>
        </w:rPr>
        <w:t>HeartWare</w:t>
      </w:r>
      <w:proofErr w:type="spellEnd"/>
      <w:r w:rsidR="000058A9" w:rsidRPr="000058A9">
        <w:rPr>
          <w:lang w:val="en-GB"/>
        </w:rPr>
        <w:t xml:space="preserve"> </w:t>
      </w:r>
      <w:proofErr w:type="spellStart"/>
      <w:r w:rsidR="000058A9" w:rsidRPr="000058A9">
        <w:rPr>
          <w:lang w:val="en-GB"/>
        </w:rPr>
        <w:t>Inc</w:t>
      </w:r>
      <w:proofErr w:type="spellEnd"/>
      <w:r w:rsidR="000058A9" w:rsidRPr="000058A9">
        <w:rPr>
          <w:lang w:val="en-GB"/>
        </w:rPr>
        <w:t xml:space="preserve"> (See FSN 20781)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E.CAM and </w:t>
      </w:r>
      <w:proofErr w:type="spellStart"/>
      <w:r w:rsidRPr="000058A9">
        <w:rPr>
          <w:lang w:val="en-GB"/>
        </w:rPr>
        <w:t>Symbia</w:t>
      </w:r>
      <w:proofErr w:type="spellEnd"/>
      <w:r w:rsidRPr="000058A9">
        <w:rPr>
          <w:lang w:val="en-GB"/>
        </w:rPr>
        <w:t xml:space="preserve"> E family, Siemens Medical Solutions USA, Inc. Molecular Imaging (See FSN 20827)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Comfort Shield Barrier Cream Cloths, Sage Products </w:t>
      </w:r>
      <w:proofErr w:type="spellStart"/>
      <w:r w:rsidRPr="000058A9">
        <w:rPr>
          <w:lang w:val="en-GB"/>
        </w:rPr>
        <w:t>Inc</w:t>
      </w:r>
      <w:proofErr w:type="spellEnd"/>
      <w:r w:rsidRPr="000058A9">
        <w:rPr>
          <w:lang w:val="en-GB"/>
        </w:rPr>
        <w:t xml:space="preserve"> (See FSN 20829)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 xml:space="preserve">PASCAL Synthesis (532/577) &amp; </w:t>
      </w:r>
      <w:proofErr w:type="spellStart"/>
      <w:r w:rsidRPr="000058A9">
        <w:rPr>
          <w:lang w:val="en-GB"/>
        </w:rPr>
        <w:t>Twinstar</w:t>
      </w:r>
      <w:proofErr w:type="spellEnd"/>
      <w:r w:rsidRPr="000058A9">
        <w:rPr>
          <w:lang w:val="en-GB"/>
        </w:rPr>
        <w:t xml:space="preserve"> (577/638), Topcon Medical Laser Systems, Inc. (See FSN 20849)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Human Care Roomer S and Altair, Human Care HC AB (See FSN 20857)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r w:rsidRPr="000058A9">
        <w:rPr>
          <w:lang w:val="en-GB"/>
        </w:rPr>
        <w:t>Tandem Bipolar Hip System, Smith &amp; Nephew USA (See FSN 20862)</w:t>
      </w:r>
    </w:p>
    <w:p w:rsidR="000058A9" w:rsidRPr="000058A9" w:rsidRDefault="000058A9" w:rsidP="000058A9">
      <w:pPr>
        <w:pStyle w:val="Paragraphedeliste"/>
        <w:numPr>
          <w:ilvl w:val="0"/>
          <w:numId w:val="18"/>
        </w:numPr>
        <w:rPr>
          <w:lang w:val="en-GB"/>
        </w:rPr>
      </w:pPr>
      <w:proofErr w:type="spellStart"/>
      <w:r w:rsidRPr="000058A9">
        <w:rPr>
          <w:lang w:val="en-GB"/>
        </w:rPr>
        <w:t>MAGiC</w:t>
      </w:r>
      <w:proofErr w:type="spellEnd"/>
      <w:r w:rsidRPr="000058A9">
        <w:rPr>
          <w:lang w:val="en-GB"/>
        </w:rPr>
        <w:t xml:space="preserve"> application running on some GEHC MR systems, Ge Medical Systems (See FSN 20901)</w:t>
      </w:r>
    </w:p>
    <w:p w:rsidR="000058A9" w:rsidRPr="000058A9" w:rsidRDefault="000058A9" w:rsidP="000058A9">
      <w:pPr>
        <w:spacing w:line="36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:rsidR="007942F3" w:rsidRPr="0039635D" w:rsidRDefault="005C3C3D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bookmarkStart w:id="0" w:name="_GoBack"/>
      <w:bookmarkEnd w:id="0"/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Etudes </w:t>
      </w:r>
      <w:proofErr w:type="spellStart"/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>cliniques</w:t>
      </w:r>
      <w:proofErr w:type="spellEnd"/>
      <w:r w:rsidR="009202B1"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</w:t>
      </w:r>
      <w:r w:rsidR="00545DB8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Klinische studie</w:t>
      </w:r>
      <w:r w:rsidR="00176CC1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s</w:t>
      </w:r>
      <w:r w:rsidR="0035141F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 xml:space="preserve"> </w:t>
      </w:r>
    </w:p>
    <w:p w:rsidR="008C4261" w:rsidRPr="0039635D" w:rsidRDefault="008C4261" w:rsidP="0011485D">
      <w:pPr>
        <w:spacing w:line="360" w:lineRule="auto"/>
        <w:rPr>
          <w:rFonts w:ascii="Arial" w:hAnsi="Arial" w:cs="Arial"/>
          <w:color w:val="1F497D"/>
          <w:sz w:val="20"/>
          <w:szCs w:val="20"/>
          <w:lang w:val="nl-BE"/>
        </w:rPr>
      </w:pPr>
    </w:p>
    <w:p w:rsidR="0011485D" w:rsidRPr="000058A9" w:rsidRDefault="000058A9" w:rsidP="000058A9">
      <w:pPr>
        <w:spacing w:line="360" w:lineRule="auto"/>
        <w:ind w:left="360"/>
        <w:rPr>
          <w:rFonts w:ascii="Arial" w:hAnsi="Arial" w:cs="Arial"/>
          <w:sz w:val="20"/>
          <w:szCs w:val="20"/>
          <w:lang w:val="nl-BE"/>
        </w:rPr>
      </w:pPr>
      <w:r w:rsidRPr="000058A9">
        <w:rPr>
          <w:rFonts w:ascii="Arial" w:hAnsi="Arial" w:cs="Arial"/>
          <w:sz w:val="20"/>
          <w:szCs w:val="20"/>
          <w:lang w:val="nl-BE"/>
        </w:rPr>
        <w:t xml:space="preserve">7 études cliniques ont été présentées / 7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klinische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studies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warden</w:t>
      </w:r>
      <w:proofErr w:type="spellEnd"/>
      <w:r w:rsidRPr="000058A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058A9">
        <w:rPr>
          <w:rFonts w:ascii="Arial" w:hAnsi="Arial" w:cs="Arial"/>
          <w:sz w:val="20"/>
          <w:szCs w:val="20"/>
          <w:lang w:val="nl-BE"/>
        </w:rPr>
        <w:t>gepresenteerd</w:t>
      </w:r>
      <w:proofErr w:type="spellEnd"/>
    </w:p>
    <w:p w:rsidR="008873DF" w:rsidRPr="0039635D" w:rsidRDefault="008873DF" w:rsidP="00876954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>Varia</w:t>
      </w:r>
    </w:p>
    <w:p w:rsidR="00CA3136" w:rsidRPr="0039635D" w:rsidRDefault="00CA3136" w:rsidP="00CA3136">
      <w:pPr>
        <w:pStyle w:val="Paragraphedeliste"/>
        <w:spacing w:line="360" w:lineRule="auto"/>
        <w:rPr>
          <w:rFonts w:ascii="Arial" w:hAnsi="Arial" w:cs="Arial"/>
          <w:color w:val="1F497D"/>
          <w:sz w:val="20"/>
          <w:szCs w:val="20"/>
          <w:lang w:val="nl-BE"/>
        </w:rPr>
      </w:pPr>
    </w:p>
    <w:p w:rsidR="00CA3136" w:rsidRPr="003F10EF" w:rsidRDefault="00421E64" w:rsidP="00876954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>
        <w:rPr>
          <w:rFonts w:asciiTheme="minorHAnsi" w:hAnsiTheme="minorHAnsi" w:cs="Arial"/>
          <w:sz w:val="22"/>
          <w:szCs w:val="22"/>
          <w:lang w:val="fr-BE"/>
        </w:rPr>
        <w:t>Mycobacterium</w:t>
      </w:r>
      <w:proofErr w:type="spellEnd"/>
      <w:r>
        <w:rPr>
          <w:rFonts w:asciiTheme="minorHAnsi" w:hAnsiTheme="minorHAnsi" w:cs="Arial"/>
          <w:sz w:val="22"/>
          <w:szCs w:val="22"/>
          <w:lang w:val="fr-BE"/>
        </w:rPr>
        <w:t> : Explication de la recommandation du CSS à la commission d’évaluation. Bard a également fait une recommandation concernant un de ses dispositif pour ne plus l’utiliser à l’intérieur d’une salle d’opération.</w:t>
      </w:r>
    </w:p>
    <w:p w:rsidR="00785B3F" w:rsidRPr="003F10EF" w:rsidRDefault="00785B3F" w:rsidP="00173A2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3D700D" w:rsidRPr="003F10EF" w:rsidRDefault="003D700D" w:rsidP="00BB24D1">
      <w:pPr>
        <w:rPr>
          <w:rFonts w:ascii="Arial" w:hAnsi="Arial" w:cs="Arial"/>
          <w:sz w:val="20"/>
          <w:szCs w:val="20"/>
          <w:lang w:val="fr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2F47B8">
        <w:rPr>
          <w:rFonts w:ascii="Arial" w:hAnsi="Arial" w:cs="Arial"/>
          <w:b/>
          <w:color w:val="1F497D"/>
          <w:sz w:val="20"/>
          <w:szCs w:val="20"/>
          <w:lang w:val="fr-BE"/>
        </w:rPr>
        <w:t>4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F05C4E">
        <w:rPr>
          <w:rFonts w:ascii="Arial" w:hAnsi="Arial" w:cs="Arial"/>
          <w:b/>
          <w:color w:val="1F497D"/>
          <w:sz w:val="20"/>
          <w:szCs w:val="20"/>
          <w:lang w:val="fr-BE"/>
        </w:rPr>
        <w:t>35</w:t>
      </w:r>
    </w:p>
    <w:p w:rsidR="005F3B1D" w:rsidRPr="000058A9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0058A9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0058A9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2F47B8" w:rsidRPr="000058A9">
        <w:rPr>
          <w:rFonts w:ascii="Arial" w:hAnsi="Arial" w:cs="Arial"/>
          <w:b/>
          <w:color w:val="1F497D"/>
          <w:sz w:val="20"/>
          <w:szCs w:val="20"/>
          <w:lang w:val="nl-BE"/>
        </w:rPr>
        <w:t>4</w:t>
      </w:r>
      <w:r w:rsidRPr="000058A9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F05C4E" w:rsidRPr="000058A9">
        <w:rPr>
          <w:rFonts w:ascii="Arial" w:hAnsi="Arial" w:cs="Arial"/>
          <w:b/>
          <w:color w:val="1F497D"/>
          <w:sz w:val="20"/>
          <w:szCs w:val="20"/>
          <w:lang w:val="nl-BE"/>
        </w:rPr>
        <w:t>35</w:t>
      </w:r>
    </w:p>
    <w:p w:rsidR="005F3B1D" w:rsidRPr="000058A9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0058A9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421E64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10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11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r w:rsidR="007004A6">
              <w:rPr>
                <w:rFonts w:ascii="Verdana" w:hAnsi="Verdana" w:cs="Arial"/>
                <w:b/>
                <w:color w:val="4F81BD"/>
              </w:rPr>
              <w:t>Horizon</w:t>
            </w:r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E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CD4E16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0A50AE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E5"/>
    <w:multiLevelType w:val="multilevel"/>
    <w:tmpl w:val="EF9A7F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927296"/>
    <w:multiLevelType w:val="hybridMultilevel"/>
    <w:tmpl w:val="786686F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054784"/>
    <w:multiLevelType w:val="hybridMultilevel"/>
    <w:tmpl w:val="C922B026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27B51468"/>
    <w:multiLevelType w:val="hybridMultilevel"/>
    <w:tmpl w:val="6B725FE0"/>
    <w:lvl w:ilvl="0" w:tplc="892245BA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450"/>
    <w:multiLevelType w:val="hybridMultilevel"/>
    <w:tmpl w:val="6B725FE0"/>
    <w:lvl w:ilvl="0" w:tplc="892245BA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17B9"/>
    <w:multiLevelType w:val="hybridMultilevel"/>
    <w:tmpl w:val="9A8A47E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394B3ABC"/>
    <w:multiLevelType w:val="hybridMultilevel"/>
    <w:tmpl w:val="86028D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3287"/>
    <w:multiLevelType w:val="hybridMultilevel"/>
    <w:tmpl w:val="2DE63440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4B611A5F"/>
    <w:multiLevelType w:val="hybridMultilevel"/>
    <w:tmpl w:val="FD7ABCA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9B7EF6"/>
    <w:multiLevelType w:val="hybridMultilevel"/>
    <w:tmpl w:val="FDB4984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0" w15:restartNumberingAfterBreak="0">
    <w:nsid w:val="50E112CF"/>
    <w:multiLevelType w:val="hybridMultilevel"/>
    <w:tmpl w:val="7B864060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" w15:restartNumberingAfterBreak="0">
    <w:nsid w:val="50E17C47"/>
    <w:multiLevelType w:val="hybridMultilevel"/>
    <w:tmpl w:val="20EC7F7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831850"/>
    <w:multiLevelType w:val="hybridMultilevel"/>
    <w:tmpl w:val="D4A086F8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6E7650"/>
    <w:multiLevelType w:val="hybridMultilevel"/>
    <w:tmpl w:val="7D103472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A6096"/>
    <w:multiLevelType w:val="hybridMultilevel"/>
    <w:tmpl w:val="61EE45BC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" w15:restartNumberingAfterBreak="0">
    <w:nsid w:val="6B3A6C37"/>
    <w:multiLevelType w:val="hybridMultilevel"/>
    <w:tmpl w:val="8F96F66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8642E"/>
    <w:multiLevelType w:val="hybridMultilevel"/>
    <w:tmpl w:val="02049E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60F08"/>
    <w:multiLevelType w:val="hybridMultilevel"/>
    <w:tmpl w:val="C4B4A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58A9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4D8"/>
    <w:rsid w:val="00085891"/>
    <w:rsid w:val="000958E7"/>
    <w:rsid w:val="000A1F4F"/>
    <w:rsid w:val="000A50AE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35DD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3EE2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A6E71"/>
    <w:rsid w:val="001B088F"/>
    <w:rsid w:val="001B2F06"/>
    <w:rsid w:val="001B54F8"/>
    <w:rsid w:val="001C22EC"/>
    <w:rsid w:val="001C34B5"/>
    <w:rsid w:val="001C4E74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71C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23DEC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100D"/>
    <w:rsid w:val="00263B91"/>
    <w:rsid w:val="00263BE9"/>
    <w:rsid w:val="00264079"/>
    <w:rsid w:val="00264848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5F98"/>
    <w:rsid w:val="002A693B"/>
    <w:rsid w:val="002A6EBF"/>
    <w:rsid w:val="002A70BD"/>
    <w:rsid w:val="002B0095"/>
    <w:rsid w:val="002B041B"/>
    <w:rsid w:val="002B0AF0"/>
    <w:rsid w:val="002B0DD5"/>
    <w:rsid w:val="002B1587"/>
    <w:rsid w:val="002B35F4"/>
    <w:rsid w:val="002B3605"/>
    <w:rsid w:val="002B4B1C"/>
    <w:rsid w:val="002B6B90"/>
    <w:rsid w:val="002C1919"/>
    <w:rsid w:val="002C2E72"/>
    <w:rsid w:val="002C67C2"/>
    <w:rsid w:val="002C684D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2F47B8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9635D"/>
    <w:rsid w:val="003A304A"/>
    <w:rsid w:val="003A669C"/>
    <w:rsid w:val="003B34C2"/>
    <w:rsid w:val="003B4EAE"/>
    <w:rsid w:val="003B5357"/>
    <w:rsid w:val="003B7624"/>
    <w:rsid w:val="003B7937"/>
    <w:rsid w:val="003C1C64"/>
    <w:rsid w:val="003C44E8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10E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E64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67F89"/>
    <w:rsid w:val="004703D1"/>
    <w:rsid w:val="004728F1"/>
    <w:rsid w:val="0047615E"/>
    <w:rsid w:val="00476A3D"/>
    <w:rsid w:val="004839C6"/>
    <w:rsid w:val="00483F58"/>
    <w:rsid w:val="00484E31"/>
    <w:rsid w:val="0048503E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6115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1245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2E8E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5B8"/>
    <w:rsid w:val="00680737"/>
    <w:rsid w:val="00686818"/>
    <w:rsid w:val="0069023A"/>
    <w:rsid w:val="00690848"/>
    <w:rsid w:val="00692197"/>
    <w:rsid w:val="006A0025"/>
    <w:rsid w:val="006A131A"/>
    <w:rsid w:val="006A1992"/>
    <w:rsid w:val="006A4BD7"/>
    <w:rsid w:val="006A70E4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4A6"/>
    <w:rsid w:val="00700E62"/>
    <w:rsid w:val="0070396B"/>
    <w:rsid w:val="00703D9C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0E84"/>
    <w:rsid w:val="0074272B"/>
    <w:rsid w:val="00743712"/>
    <w:rsid w:val="007437DB"/>
    <w:rsid w:val="00751120"/>
    <w:rsid w:val="007523C9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5805"/>
    <w:rsid w:val="007D7CD0"/>
    <w:rsid w:val="007E0E05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76954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019C"/>
    <w:rsid w:val="00A01FC2"/>
    <w:rsid w:val="00A024C0"/>
    <w:rsid w:val="00A02B35"/>
    <w:rsid w:val="00A06270"/>
    <w:rsid w:val="00A06E50"/>
    <w:rsid w:val="00A12A8B"/>
    <w:rsid w:val="00A13F39"/>
    <w:rsid w:val="00A144C4"/>
    <w:rsid w:val="00A17DC8"/>
    <w:rsid w:val="00A204D2"/>
    <w:rsid w:val="00A21DD6"/>
    <w:rsid w:val="00A23A87"/>
    <w:rsid w:val="00A24E3C"/>
    <w:rsid w:val="00A2788D"/>
    <w:rsid w:val="00A30ECA"/>
    <w:rsid w:val="00A34838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1905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7B6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5A53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1578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27FF9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4D31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31E"/>
    <w:rsid w:val="00CB1F2F"/>
    <w:rsid w:val="00CB3446"/>
    <w:rsid w:val="00CB4410"/>
    <w:rsid w:val="00CC1C83"/>
    <w:rsid w:val="00CC4CD6"/>
    <w:rsid w:val="00CC5AD5"/>
    <w:rsid w:val="00CC5DD7"/>
    <w:rsid w:val="00CD106B"/>
    <w:rsid w:val="00CD206F"/>
    <w:rsid w:val="00CD216D"/>
    <w:rsid w:val="00CD3856"/>
    <w:rsid w:val="00CD3F01"/>
    <w:rsid w:val="00CD3F93"/>
    <w:rsid w:val="00CD4E16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51B7"/>
    <w:rsid w:val="00D66053"/>
    <w:rsid w:val="00D716C5"/>
    <w:rsid w:val="00D71BB3"/>
    <w:rsid w:val="00D71CCC"/>
    <w:rsid w:val="00D745F8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30A"/>
    <w:rsid w:val="00E56721"/>
    <w:rsid w:val="00E57F05"/>
    <w:rsid w:val="00E61EBD"/>
    <w:rsid w:val="00E632F0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C4E"/>
    <w:rsid w:val="00F05E1A"/>
    <w:rsid w:val="00F110D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17FF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67C73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2EA8"/>
    <w:rsid w:val="00FF49AE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D208-E515-4ABE-966E-D38695B8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1266</Words>
  <Characters>7171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8421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3</cp:revision>
  <cp:lastPrinted>2013-11-28T07:54:00Z</cp:lastPrinted>
  <dcterms:created xsi:type="dcterms:W3CDTF">2016-12-15T08:36:00Z</dcterms:created>
  <dcterms:modified xsi:type="dcterms:W3CDTF">2016-12-15T09:34:00Z</dcterms:modified>
</cp:coreProperties>
</file>