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EDBAD" w14:textId="77777777" w:rsidR="001A2067" w:rsidRDefault="001A2067" w:rsidP="001A2067">
      <w:pPr>
        <w:pStyle w:val="Kop1"/>
        <w:spacing w:before="120" w:after="120"/>
        <w:jc w:val="both"/>
        <w:rPr>
          <w:rFonts w:ascii="Arial" w:hAnsi="Arial" w:cs="Arial"/>
          <w:b w:val="0"/>
          <w:bCs w:val="0"/>
          <w:color w:val="8496B0" w:themeColor="text2" w:themeTint="99"/>
          <w:sz w:val="20"/>
          <w:szCs w:val="20"/>
          <w:u w:val="single"/>
          <w:lang w:val="en-US"/>
        </w:rPr>
      </w:pPr>
      <w:bookmarkStart w:id="0" w:name="_Ref1397955"/>
      <w:r w:rsidRPr="00695C8A">
        <w:rPr>
          <w:rFonts w:ascii="Arial" w:hAnsi="Arial" w:cs="Arial"/>
          <w:b w:val="0"/>
          <w:bCs w:val="0"/>
          <w:color w:val="8496B0" w:themeColor="text2" w:themeTint="99"/>
          <w:sz w:val="20"/>
          <w:szCs w:val="20"/>
          <w:u w:val="single"/>
          <w:lang w:val="en-US"/>
        </w:rPr>
        <w:t>FAQ’s – Unmet Medical Need</w:t>
      </w:r>
      <w:bookmarkEnd w:id="0"/>
    </w:p>
    <w:p w14:paraId="28FCCFC5" w14:textId="062A27A7" w:rsidR="00743912" w:rsidRPr="00743912" w:rsidRDefault="004820AD" w:rsidP="00743912">
      <w:pPr>
        <w:rPr>
          <w:lang w:val="en-US"/>
        </w:rPr>
      </w:pPr>
      <w:r>
        <w:rPr>
          <w:lang w:val="en-US"/>
        </w:rPr>
        <w:t xml:space="preserve">Update </w:t>
      </w:r>
      <w:r w:rsidR="00743912">
        <w:rPr>
          <w:lang w:val="en-US"/>
        </w:rPr>
        <w:t xml:space="preserve">29/11/2019: v1.6 versus 1.5: Slight modification </w:t>
      </w:r>
      <w:r>
        <w:rPr>
          <w:lang w:val="en-US"/>
        </w:rPr>
        <w:t xml:space="preserve">in wording </w:t>
      </w:r>
      <w:r w:rsidR="00743912">
        <w:rPr>
          <w:lang w:val="en-US"/>
        </w:rPr>
        <w:t xml:space="preserve">of question 13 and addition of question 15 regarding Brexit </w:t>
      </w:r>
    </w:p>
    <w:p w14:paraId="50C68072" w14:textId="77777777" w:rsidR="001A2067" w:rsidRPr="003579D2" w:rsidRDefault="001A2067" w:rsidP="00587079">
      <w:pPr>
        <w:pStyle w:val="Kop1"/>
        <w:numPr>
          <w:ilvl w:val="0"/>
          <w:numId w:val="2"/>
        </w:numPr>
        <w:spacing w:before="360" w:after="240"/>
        <w:ind w:left="567" w:hanging="425"/>
        <w:jc w:val="both"/>
        <w:rPr>
          <w:rStyle w:val="Zwaar"/>
          <w:rFonts w:ascii="Arial" w:hAnsi="Arial" w:cs="Arial"/>
          <w:b/>
          <w:color w:val="auto"/>
          <w:sz w:val="24"/>
          <w:szCs w:val="24"/>
          <w:u w:val="single"/>
          <w:lang w:val="en-US"/>
        </w:rPr>
      </w:pPr>
      <w:bookmarkStart w:id="1" w:name="_Ref1398099"/>
      <w:r w:rsidRPr="003579D2">
        <w:rPr>
          <w:rStyle w:val="Zwaar"/>
          <w:rFonts w:ascii="Arial" w:hAnsi="Arial" w:cs="Arial"/>
          <w:b/>
          <w:color w:val="auto"/>
          <w:sz w:val="24"/>
          <w:szCs w:val="24"/>
          <w:u w:val="single"/>
          <w:lang w:val="en-US"/>
        </w:rPr>
        <w:t>General</w:t>
      </w:r>
      <w:bookmarkStart w:id="2" w:name="_GoBack"/>
      <w:bookmarkEnd w:id="1"/>
      <w:bookmarkEnd w:id="2"/>
    </w:p>
    <w:p w14:paraId="629C15E8" w14:textId="77777777" w:rsidR="001A2067" w:rsidRPr="00360D3C" w:rsidRDefault="001A2067" w:rsidP="001A2067">
      <w:pPr>
        <w:pStyle w:val="Lijstalinea"/>
        <w:numPr>
          <w:ilvl w:val="0"/>
          <w:numId w:val="1"/>
        </w:numPr>
        <w:spacing w:before="120" w:after="120"/>
        <w:ind w:left="714" w:hanging="357"/>
        <w:jc w:val="both"/>
        <w:rPr>
          <w:rFonts w:ascii="Arial" w:hAnsi="Arial" w:cs="Arial"/>
          <w:b/>
          <w:sz w:val="20"/>
          <w:szCs w:val="20"/>
          <w:lang w:val="en-US"/>
        </w:rPr>
      </w:pPr>
      <w:bookmarkStart w:id="3" w:name="_Ref1398050"/>
      <w:r w:rsidRPr="00360D3C">
        <w:rPr>
          <w:rFonts w:ascii="Arial" w:hAnsi="Arial" w:cs="Arial"/>
          <w:b/>
          <w:sz w:val="20"/>
          <w:szCs w:val="20"/>
          <w:lang w:val="en-US"/>
        </w:rPr>
        <w:t>When is a product considered as “commercially available”?</w:t>
      </w:r>
      <w:bookmarkEnd w:id="3"/>
    </w:p>
    <w:p w14:paraId="19013E39" w14:textId="3944D47E" w:rsidR="001A2067" w:rsidRPr="003E1372" w:rsidRDefault="001A2067" w:rsidP="001A2067">
      <w:pPr>
        <w:spacing w:after="240"/>
        <w:ind w:left="708"/>
        <w:jc w:val="both"/>
        <w:rPr>
          <w:rFonts w:ascii="Arial" w:hAnsi="Arial" w:cs="Arial"/>
          <w:sz w:val="20"/>
          <w:szCs w:val="20"/>
          <w:lang w:val="en-US"/>
        </w:rPr>
      </w:pPr>
      <w:r w:rsidRPr="00360D3C">
        <w:rPr>
          <w:rFonts w:ascii="Arial" w:hAnsi="Arial" w:cs="Arial"/>
          <w:sz w:val="20"/>
          <w:szCs w:val="20"/>
          <w:lang w:val="en-US"/>
        </w:rPr>
        <w:t>Commercially available means that the product is available on the</w:t>
      </w:r>
      <w:r w:rsidR="0003400F">
        <w:rPr>
          <w:rFonts w:ascii="Arial" w:hAnsi="Arial" w:cs="Arial"/>
          <w:sz w:val="20"/>
          <w:szCs w:val="20"/>
          <w:lang w:val="en-US"/>
        </w:rPr>
        <w:t xml:space="preserve"> Belgian</w:t>
      </w:r>
      <w:r w:rsidRPr="00360D3C">
        <w:rPr>
          <w:rFonts w:ascii="Arial" w:hAnsi="Arial" w:cs="Arial"/>
          <w:sz w:val="20"/>
          <w:szCs w:val="20"/>
          <w:lang w:val="en-US"/>
        </w:rPr>
        <w:t xml:space="preserve"> market </w:t>
      </w:r>
      <w:r w:rsidRPr="003E1372">
        <w:rPr>
          <w:rFonts w:ascii="Arial" w:hAnsi="Arial" w:cs="Arial"/>
          <w:sz w:val="20"/>
          <w:szCs w:val="20"/>
          <w:lang w:val="en-US"/>
        </w:rPr>
        <w:t xml:space="preserve">(independently of its reimbursement status). </w:t>
      </w:r>
    </w:p>
    <w:p w14:paraId="01CB4A9F" w14:textId="20464A75" w:rsidR="001E14A5" w:rsidRDefault="001E14A5" w:rsidP="001E14A5">
      <w:pPr>
        <w:pStyle w:val="Lijstalinea"/>
        <w:numPr>
          <w:ilvl w:val="0"/>
          <w:numId w:val="1"/>
        </w:numPr>
        <w:spacing w:before="120" w:after="120"/>
        <w:jc w:val="both"/>
        <w:rPr>
          <w:rFonts w:ascii="Arial" w:hAnsi="Arial" w:cs="Arial"/>
          <w:b/>
          <w:bCs/>
          <w:sz w:val="20"/>
          <w:szCs w:val="20"/>
          <w:lang w:val="en-US"/>
        </w:rPr>
      </w:pPr>
      <w:bookmarkStart w:id="4" w:name="_Ref1466308"/>
      <w:r>
        <w:rPr>
          <w:rFonts w:ascii="Arial" w:hAnsi="Arial" w:cs="Arial"/>
          <w:b/>
          <w:bCs/>
          <w:sz w:val="20"/>
          <w:szCs w:val="20"/>
          <w:lang w:val="en-US"/>
        </w:rPr>
        <w:t>Can a product that is commercially available be provided in the frame of an unmet medical need program for the authorized indication?</w:t>
      </w:r>
    </w:p>
    <w:p w14:paraId="6EFA778C" w14:textId="3F1BBC9F" w:rsidR="001E14A5" w:rsidRPr="00CC1F4F" w:rsidRDefault="001E14A5" w:rsidP="00CC1F4F">
      <w:pPr>
        <w:spacing w:after="240"/>
        <w:ind w:left="708"/>
        <w:jc w:val="both"/>
        <w:rPr>
          <w:rFonts w:ascii="Arial" w:hAnsi="Arial" w:cs="Arial"/>
          <w:sz w:val="20"/>
          <w:szCs w:val="20"/>
          <w:lang w:val="en-GB"/>
        </w:rPr>
      </w:pPr>
      <w:r w:rsidRPr="00CC1F4F">
        <w:rPr>
          <w:rFonts w:ascii="Arial" w:hAnsi="Arial" w:cs="Arial"/>
          <w:sz w:val="20"/>
          <w:szCs w:val="20"/>
          <w:lang w:val="en-US"/>
        </w:rPr>
        <w:t xml:space="preserve">General: Once a product is commercially available for a given indication, the product cannot be provided any longer in the frame of an unmet medical need program for the same indication, even if reimbursement criteria are not fixed yet. There is one derogation: if a product that was already on the market for indication X, has been authorized for indication Y </w:t>
      </w:r>
      <w:r w:rsidRPr="00B32C77">
        <w:rPr>
          <w:rFonts w:ascii="Arial" w:hAnsi="Arial" w:cs="Arial"/>
          <w:sz w:val="20"/>
          <w:szCs w:val="20"/>
          <w:u w:val="single"/>
          <w:lang w:val="en-US"/>
        </w:rPr>
        <w:t xml:space="preserve">and </w:t>
      </w:r>
      <w:r w:rsidRPr="00CC1F4F">
        <w:rPr>
          <w:rFonts w:ascii="Arial" w:hAnsi="Arial" w:cs="Arial"/>
          <w:sz w:val="20"/>
          <w:szCs w:val="20"/>
          <w:lang w:val="en-US"/>
        </w:rPr>
        <w:t>reimbursement procedure is ongoing for indication Y, an MNP can be requested for indication Y. The MNP can run in indication Y until the reimbursement procedure has ended for indication Y, regardless of its outcome</w:t>
      </w:r>
      <w:r w:rsidR="003461B7">
        <w:rPr>
          <w:rFonts w:ascii="Arial" w:hAnsi="Arial" w:cs="Arial"/>
          <w:sz w:val="20"/>
          <w:szCs w:val="20"/>
          <w:lang w:val="en-US"/>
        </w:rPr>
        <w:t>.</w:t>
      </w:r>
    </w:p>
    <w:p w14:paraId="4B48D0DF" w14:textId="12C7484B" w:rsidR="001A2067" w:rsidRPr="00BF2158" w:rsidRDefault="001A2067" w:rsidP="001A2067">
      <w:pPr>
        <w:pStyle w:val="Lijstalinea"/>
        <w:numPr>
          <w:ilvl w:val="0"/>
          <w:numId w:val="1"/>
        </w:numPr>
        <w:spacing w:after="120"/>
        <w:ind w:left="714" w:hanging="357"/>
        <w:rPr>
          <w:rFonts w:ascii="Arial" w:hAnsi="Arial" w:cs="Arial"/>
          <w:b/>
          <w:sz w:val="20"/>
          <w:szCs w:val="20"/>
          <w:lang w:val="en-US"/>
        </w:rPr>
      </w:pPr>
      <w:bookmarkStart w:id="5" w:name="_Ref1398053"/>
      <w:bookmarkEnd w:id="4"/>
      <w:r w:rsidRPr="00BF2158">
        <w:rPr>
          <w:rFonts w:ascii="Arial" w:hAnsi="Arial" w:cs="Arial"/>
          <w:b/>
          <w:sz w:val="20"/>
          <w:szCs w:val="20"/>
          <w:lang w:val="en-US"/>
        </w:rPr>
        <w:t xml:space="preserve">Could we apply for an UMN program in place of an </w:t>
      </w:r>
      <w:r>
        <w:rPr>
          <w:rFonts w:ascii="Arial" w:hAnsi="Arial" w:cs="Arial"/>
          <w:b/>
          <w:sz w:val="20"/>
          <w:szCs w:val="20"/>
          <w:lang w:val="en-US"/>
        </w:rPr>
        <w:t>extension trial/</w:t>
      </w:r>
      <w:r w:rsidRPr="00BF2158">
        <w:rPr>
          <w:rFonts w:ascii="Arial" w:hAnsi="Arial" w:cs="Arial"/>
          <w:b/>
          <w:sz w:val="20"/>
          <w:szCs w:val="20"/>
          <w:lang w:val="en-US"/>
        </w:rPr>
        <w:t>open label study?</w:t>
      </w:r>
      <w:bookmarkEnd w:id="5"/>
    </w:p>
    <w:p w14:paraId="4381D959" w14:textId="77777777" w:rsidR="001A2067" w:rsidRDefault="001A2067" w:rsidP="008E2D5F">
      <w:pPr>
        <w:pStyle w:val="Lijstalinea"/>
        <w:spacing w:after="240"/>
        <w:jc w:val="both"/>
        <w:rPr>
          <w:rFonts w:ascii="Arial" w:hAnsi="Arial" w:cs="Arial"/>
          <w:sz w:val="20"/>
          <w:szCs w:val="20"/>
          <w:lang w:val="en-US"/>
        </w:rPr>
      </w:pPr>
      <w:r w:rsidRPr="00BF2158">
        <w:rPr>
          <w:rFonts w:ascii="Arial" w:hAnsi="Arial" w:cs="Arial"/>
          <w:sz w:val="20"/>
          <w:szCs w:val="20"/>
          <w:lang w:val="en-US"/>
        </w:rPr>
        <w:t>The main goal of an UMN program is to provide an early access to a new innovative medicinal product which addresses an unmet medical need or a major therapeutic advantage. </w:t>
      </w:r>
      <w:r>
        <w:rPr>
          <w:rFonts w:ascii="Arial" w:hAnsi="Arial" w:cs="Arial"/>
          <w:sz w:val="20"/>
          <w:szCs w:val="20"/>
          <w:lang w:val="en-US"/>
        </w:rPr>
        <w:t>Hence</w:t>
      </w:r>
      <w:r w:rsidRPr="00BF2158">
        <w:rPr>
          <w:rFonts w:ascii="Arial" w:hAnsi="Arial" w:cs="Arial"/>
          <w:sz w:val="20"/>
          <w:szCs w:val="20"/>
          <w:lang w:val="en-US"/>
        </w:rPr>
        <w:t xml:space="preserve"> no other data except pharmacovigilance data can be gathered </w:t>
      </w:r>
      <w:r>
        <w:rPr>
          <w:rFonts w:ascii="Arial" w:hAnsi="Arial" w:cs="Arial"/>
          <w:sz w:val="20"/>
          <w:szCs w:val="20"/>
          <w:lang w:val="en-US"/>
        </w:rPr>
        <w:t>which will only be used for the evaluation of the</w:t>
      </w:r>
      <w:r w:rsidRPr="00BF2158">
        <w:rPr>
          <w:rFonts w:ascii="Arial" w:hAnsi="Arial" w:cs="Arial"/>
          <w:sz w:val="20"/>
          <w:szCs w:val="20"/>
          <w:lang w:val="en-US"/>
        </w:rPr>
        <w:t xml:space="preserve"> UMN program. Therefore and as stated in the European regulation, </w:t>
      </w:r>
      <w:r>
        <w:rPr>
          <w:rFonts w:ascii="Arial" w:hAnsi="Arial" w:cs="Arial"/>
          <w:sz w:val="20"/>
          <w:szCs w:val="20"/>
          <w:lang w:val="en-US"/>
        </w:rPr>
        <w:t>UMN programs</w:t>
      </w:r>
      <w:r w:rsidRPr="00BF2158">
        <w:rPr>
          <w:rFonts w:ascii="Arial" w:hAnsi="Arial" w:cs="Arial"/>
          <w:sz w:val="20"/>
          <w:szCs w:val="20"/>
          <w:lang w:val="en-US"/>
        </w:rPr>
        <w:t xml:space="preserve"> should not be opened in place of clinical trials even open label stud</w:t>
      </w:r>
      <w:r>
        <w:rPr>
          <w:rFonts w:ascii="Arial" w:hAnsi="Arial" w:cs="Arial"/>
          <w:sz w:val="20"/>
          <w:szCs w:val="20"/>
          <w:lang w:val="en-US"/>
        </w:rPr>
        <w:t>ies</w:t>
      </w:r>
      <w:r w:rsidRPr="00BF2158">
        <w:rPr>
          <w:rFonts w:ascii="Arial" w:hAnsi="Arial" w:cs="Arial"/>
          <w:sz w:val="20"/>
          <w:szCs w:val="20"/>
          <w:lang w:val="en-US"/>
        </w:rPr>
        <w:t>.</w:t>
      </w:r>
    </w:p>
    <w:p w14:paraId="677BF91B" w14:textId="350B2280" w:rsidR="001A2067" w:rsidRPr="00E602A4" w:rsidRDefault="001A2067" w:rsidP="001A2067">
      <w:pPr>
        <w:pStyle w:val="Lijstalinea"/>
        <w:numPr>
          <w:ilvl w:val="0"/>
          <w:numId w:val="1"/>
        </w:numPr>
        <w:spacing w:after="120"/>
        <w:ind w:left="714" w:hanging="357"/>
        <w:jc w:val="both"/>
        <w:rPr>
          <w:rFonts w:ascii="Arial" w:hAnsi="Arial" w:cs="Arial"/>
          <w:b/>
          <w:sz w:val="20"/>
          <w:szCs w:val="20"/>
          <w:lang w:val="en-US"/>
        </w:rPr>
      </w:pPr>
      <w:bookmarkStart w:id="6" w:name="_Ref1398056"/>
      <w:r w:rsidRPr="00E602A4">
        <w:rPr>
          <w:rFonts w:ascii="Arial" w:hAnsi="Arial" w:cs="Arial"/>
          <w:b/>
          <w:sz w:val="20"/>
          <w:szCs w:val="20"/>
          <w:lang w:val="en-US"/>
        </w:rPr>
        <w:t>C</w:t>
      </w:r>
      <w:r w:rsidR="00CA4D37">
        <w:rPr>
          <w:rFonts w:ascii="Arial" w:hAnsi="Arial" w:cs="Arial"/>
          <w:b/>
          <w:sz w:val="20"/>
          <w:szCs w:val="20"/>
          <w:lang w:val="en-US"/>
        </w:rPr>
        <w:t>ould</w:t>
      </w:r>
      <w:r w:rsidRPr="00E602A4">
        <w:rPr>
          <w:rFonts w:ascii="Arial" w:hAnsi="Arial" w:cs="Arial"/>
          <w:b/>
          <w:sz w:val="20"/>
          <w:szCs w:val="20"/>
          <w:lang w:val="en-US"/>
        </w:rPr>
        <w:t xml:space="preserve"> we request for Scientific-Technical advice regarding Unmet Medical Need?</w:t>
      </w:r>
      <w:bookmarkEnd w:id="6"/>
      <w:r w:rsidRPr="00E602A4">
        <w:rPr>
          <w:rFonts w:ascii="Arial" w:hAnsi="Arial" w:cs="Arial"/>
          <w:b/>
          <w:sz w:val="20"/>
          <w:szCs w:val="20"/>
          <w:lang w:val="en-US"/>
        </w:rPr>
        <w:t xml:space="preserve"> </w:t>
      </w:r>
    </w:p>
    <w:p w14:paraId="1A106F7B" w14:textId="77777777" w:rsidR="001A2067" w:rsidRDefault="001A2067" w:rsidP="001A2067">
      <w:pPr>
        <w:pStyle w:val="Lijstalinea"/>
        <w:spacing w:after="240"/>
        <w:jc w:val="both"/>
        <w:rPr>
          <w:rStyle w:val="Hyperlink"/>
          <w:rFonts w:ascii="Arial" w:hAnsi="Arial" w:cs="Arial"/>
          <w:sz w:val="20"/>
          <w:szCs w:val="20"/>
          <w:lang w:val="en-US"/>
        </w:rPr>
      </w:pPr>
      <w:r w:rsidRPr="00E602A4">
        <w:rPr>
          <w:rFonts w:ascii="Arial" w:hAnsi="Arial" w:cs="Arial"/>
          <w:sz w:val="20"/>
          <w:szCs w:val="20"/>
          <w:lang w:val="en-US"/>
        </w:rPr>
        <w:t>Yes. Scientific-Technical advice can be requested regarding all Unmet Medical Need questions. For the STA procedure please refer to</w:t>
      </w:r>
      <w:r w:rsidRPr="00E602A4">
        <w:rPr>
          <w:lang w:val="en-US"/>
        </w:rPr>
        <w:t xml:space="preserve"> </w:t>
      </w:r>
      <w:hyperlink r:id="rId8" w:history="1">
        <w:r w:rsidRPr="00E602A4">
          <w:rPr>
            <w:rStyle w:val="Hyperlink"/>
            <w:rFonts w:ascii="Arial" w:hAnsi="Arial" w:cs="Arial"/>
            <w:sz w:val="20"/>
            <w:szCs w:val="20"/>
            <w:lang w:val="en-US"/>
          </w:rPr>
          <w:t>http://www.fagg-afmps.be/en/human_use/medicines/medicines/scientific_technical_advice/generalites/</w:t>
        </w:r>
      </w:hyperlink>
      <w:r w:rsidRPr="00A21291">
        <w:rPr>
          <w:rStyle w:val="Hyperlink"/>
          <w:rFonts w:ascii="Arial" w:hAnsi="Arial" w:cs="Arial"/>
          <w:color w:val="000000" w:themeColor="text1"/>
          <w:sz w:val="20"/>
          <w:szCs w:val="20"/>
          <w:lang w:val="en-US"/>
        </w:rPr>
        <w:t>.</w:t>
      </w:r>
    </w:p>
    <w:p w14:paraId="03918007" w14:textId="77777777" w:rsidR="001A2067" w:rsidRPr="000B657B" w:rsidRDefault="001A2067" w:rsidP="001A2067">
      <w:pPr>
        <w:pStyle w:val="Lijstalinea"/>
        <w:numPr>
          <w:ilvl w:val="0"/>
          <w:numId w:val="1"/>
        </w:numPr>
        <w:spacing w:before="120" w:after="120"/>
        <w:ind w:left="714" w:hanging="357"/>
        <w:jc w:val="both"/>
        <w:rPr>
          <w:rFonts w:ascii="Arial" w:hAnsi="Arial" w:cs="Arial"/>
          <w:b/>
          <w:sz w:val="20"/>
          <w:szCs w:val="20"/>
          <w:lang w:val="en-US"/>
        </w:rPr>
      </w:pPr>
      <w:bookmarkStart w:id="7" w:name="_Ref1398058"/>
      <w:r w:rsidRPr="000B657B">
        <w:rPr>
          <w:rFonts w:ascii="Arial" w:hAnsi="Arial" w:cs="Arial"/>
          <w:b/>
          <w:sz w:val="20"/>
          <w:szCs w:val="20"/>
          <w:lang w:val="en-US"/>
        </w:rPr>
        <w:t>How to proceed if the applicant wants to request for a cohort (Early Temporary Reimbursement)?</w:t>
      </w:r>
      <w:bookmarkEnd w:id="7"/>
    </w:p>
    <w:p w14:paraId="7FE944CF" w14:textId="50E7A221" w:rsidR="001A2067" w:rsidRDefault="001A2067" w:rsidP="001A2067">
      <w:pPr>
        <w:pStyle w:val="Lijstalinea"/>
        <w:spacing w:before="120" w:after="240"/>
        <w:jc w:val="both"/>
        <w:rPr>
          <w:rFonts w:ascii="Arial" w:hAnsi="Arial" w:cs="Arial"/>
          <w:sz w:val="20"/>
          <w:szCs w:val="20"/>
          <w:lang w:val="en-US"/>
        </w:rPr>
      </w:pPr>
      <w:r w:rsidRPr="000B657B">
        <w:rPr>
          <w:rFonts w:ascii="Arial" w:hAnsi="Arial" w:cs="Arial"/>
          <w:sz w:val="20"/>
          <w:szCs w:val="20"/>
          <w:lang w:val="en-US"/>
        </w:rPr>
        <w:t>At the moment of submission for a CUP/MNP (Early Temporary Authorization or ETA), the applicant needs to notify his intention to request a cohort. Once the CUP/MNP is approved the request for cohort (Early Temporary Reimbursement or ETR) can be done at the RIZIV/INAMI. The starting date of the CU</w:t>
      </w:r>
      <w:r>
        <w:rPr>
          <w:rFonts w:ascii="Arial" w:hAnsi="Arial" w:cs="Arial"/>
          <w:sz w:val="20"/>
          <w:szCs w:val="20"/>
          <w:lang w:val="en-US"/>
        </w:rPr>
        <w:t>P</w:t>
      </w:r>
      <w:r w:rsidRPr="000B657B">
        <w:rPr>
          <w:rFonts w:ascii="Arial" w:hAnsi="Arial" w:cs="Arial"/>
          <w:sz w:val="20"/>
          <w:szCs w:val="20"/>
          <w:lang w:val="en-US"/>
        </w:rPr>
        <w:t xml:space="preserve">/MNP cannot be later than the date of cohort </w:t>
      </w:r>
      <w:r w:rsidRPr="000B657B">
        <w:rPr>
          <w:rFonts w:ascii="Arial" w:hAnsi="Arial" w:cs="Arial"/>
          <w:sz w:val="20"/>
          <w:szCs w:val="20"/>
          <w:u w:val="single"/>
          <w:lang w:val="en-US"/>
        </w:rPr>
        <w:t>request</w:t>
      </w:r>
      <w:r w:rsidRPr="000B657B">
        <w:rPr>
          <w:rFonts w:ascii="Arial" w:hAnsi="Arial" w:cs="Arial"/>
          <w:sz w:val="20"/>
          <w:szCs w:val="20"/>
          <w:lang w:val="en-US"/>
        </w:rPr>
        <w:t xml:space="preserve">. For further information on cohort request please refer to </w:t>
      </w:r>
      <w:hyperlink r:id="rId9" w:history="1">
        <w:r w:rsidR="00743912" w:rsidRPr="006A022A">
          <w:rPr>
            <w:rStyle w:val="Hyperlink"/>
            <w:rFonts w:ascii="Arial" w:hAnsi="Arial" w:cs="Arial"/>
            <w:sz w:val="20"/>
            <w:szCs w:val="20"/>
            <w:lang w:val="en-US"/>
          </w:rPr>
          <w:t>http://www.inami.fgov.be/nl/themas/kost-terugbetaling/door-ziekenfonds/geneesmiddel-gezondheidsproduct/terugbetalen/Paginas/unmet-medical-need.aspx</w:t>
        </w:r>
      </w:hyperlink>
      <w:r>
        <w:rPr>
          <w:rFonts w:ascii="Arial" w:hAnsi="Arial" w:cs="Arial"/>
          <w:sz w:val="20"/>
          <w:szCs w:val="20"/>
          <w:lang w:val="en-US"/>
        </w:rPr>
        <w:t>. H</w:t>
      </w:r>
      <w:r w:rsidRPr="000B657B">
        <w:rPr>
          <w:rFonts w:ascii="Arial" w:hAnsi="Arial" w:cs="Arial"/>
          <w:sz w:val="20"/>
          <w:szCs w:val="20"/>
          <w:lang w:val="en-US"/>
        </w:rPr>
        <w:t>aving the intention to request or not for a cohort (ETR) does not influence CUP/MNP approval/refusal (ETA).</w:t>
      </w:r>
    </w:p>
    <w:p w14:paraId="3301C936" w14:textId="77777777" w:rsidR="001A2067" w:rsidRPr="00982472" w:rsidRDefault="001A2067" w:rsidP="001A2067">
      <w:pPr>
        <w:pStyle w:val="Lijstalinea"/>
        <w:numPr>
          <w:ilvl w:val="0"/>
          <w:numId w:val="1"/>
        </w:numPr>
        <w:tabs>
          <w:tab w:val="left" w:pos="1620"/>
        </w:tabs>
        <w:spacing w:before="120"/>
        <w:jc w:val="both"/>
        <w:rPr>
          <w:rFonts w:ascii="Arial" w:hAnsi="Arial" w:cs="Arial"/>
          <w:b/>
          <w:sz w:val="20"/>
          <w:szCs w:val="20"/>
          <w:lang w:val="en-US"/>
        </w:rPr>
      </w:pPr>
      <w:bookmarkStart w:id="8" w:name="_Ref1398060"/>
      <w:r w:rsidRPr="00982472">
        <w:rPr>
          <w:rFonts w:ascii="Arial" w:hAnsi="Arial" w:cs="Arial"/>
          <w:b/>
          <w:sz w:val="20"/>
          <w:szCs w:val="20"/>
          <w:lang w:val="en-US"/>
        </w:rPr>
        <w:t>Is a MNP with a biosimilar possible?</w:t>
      </w:r>
      <w:bookmarkEnd w:id="8"/>
      <w:r w:rsidRPr="00982472">
        <w:rPr>
          <w:rFonts w:ascii="Arial" w:hAnsi="Arial" w:cs="Arial"/>
          <w:b/>
          <w:sz w:val="20"/>
          <w:szCs w:val="20"/>
          <w:lang w:val="en-US"/>
        </w:rPr>
        <w:t xml:space="preserve"> </w:t>
      </w:r>
    </w:p>
    <w:p w14:paraId="6690FAF3" w14:textId="77777777" w:rsidR="001A2067" w:rsidRDefault="001A2067" w:rsidP="001A2067">
      <w:pPr>
        <w:spacing w:before="120" w:after="240"/>
        <w:ind w:left="714"/>
        <w:jc w:val="both"/>
        <w:rPr>
          <w:rFonts w:ascii="Arial" w:hAnsi="Arial" w:cs="Arial"/>
          <w:sz w:val="20"/>
          <w:szCs w:val="20"/>
          <w:lang w:val="en-US"/>
        </w:rPr>
      </w:pPr>
      <w:r w:rsidRPr="00982472">
        <w:rPr>
          <w:rFonts w:ascii="Arial" w:hAnsi="Arial" w:cs="Arial"/>
          <w:sz w:val="20"/>
          <w:szCs w:val="20"/>
          <w:lang w:val="en-US"/>
        </w:rPr>
        <w:t>A MNP with a biosimilar (for instance in a new indication) is not excluded but should fulfill all conditions for the set-up of a MNP.</w:t>
      </w:r>
    </w:p>
    <w:p w14:paraId="6A91F5AE" w14:textId="77777777" w:rsidR="00D64276" w:rsidRDefault="00D64276" w:rsidP="001A2067">
      <w:pPr>
        <w:spacing w:before="120" w:after="240"/>
        <w:ind w:left="714"/>
        <w:jc w:val="both"/>
        <w:rPr>
          <w:rFonts w:ascii="Arial" w:hAnsi="Arial" w:cs="Arial"/>
          <w:sz w:val="20"/>
          <w:szCs w:val="20"/>
          <w:lang w:val="en-US"/>
        </w:rPr>
      </w:pPr>
    </w:p>
    <w:p w14:paraId="32970155" w14:textId="77777777" w:rsidR="00D64276" w:rsidRDefault="00D64276" w:rsidP="001A2067">
      <w:pPr>
        <w:spacing w:before="120" w:after="240"/>
        <w:ind w:left="714"/>
        <w:jc w:val="both"/>
        <w:rPr>
          <w:rFonts w:ascii="Arial" w:hAnsi="Arial" w:cs="Arial"/>
          <w:sz w:val="20"/>
          <w:szCs w:val="20"/>
          <w:lang w:val="en-US"/>
        </w:rPr>
      </w:pPr>
    </w:p>
    <w:p w14:paraId="62F8306A" w14:textId="137A46A3" w:rsidR="001A2067" w:rsidRPr="00695C8A" w:rsidRDefault="001A2067" w:rsidP="000F594A">
      <w:pPr>
        <w:pStyle w:val="Lijstalinea"/>
        <w:numPr>
          <w:ilvl w:val="0"/>
          <w:numId w:val="1"/>
        </w:numPr>
        <w:spacing w:before="120" w:after="120"/>
        <w:ind w:left="714" w:hanging="357"/>
        <w:jc w:val="both"/>
        <w:rPr>
          <w:rFonts w:ascii="Arial" w:hAnsi="Arial" w:cs="Arial"/>
          <w:b/>
          <w:sz w:val="20"/>
          <w:szCs w:val="20"/>
          <w:lang w:val="en-US"/>
        </w:rPr>
      </w:pPr>
      <w:bookmarkStart w:id="9" w:name="_Ref1398062"/>
      <w:r w:rsidRPr="00695C8A">
        <w:rPr>
          <w:rFonts w:ascii="Arial" w:hAnsi="Arial" w:cs="Arial"/>
          <w:b/>
          <w:sz w:val="20"/>
          <w:szCs w:val="20"/>
          <w:lang w:val="en-US"/>
        </w:rPr>
        <w:t xml:space="preserve">Can a CUP/MNP be requested for </w:t>
      </w:r>
      <w:r w:rsidR="00553939" w:rsidRPr="00695C8A">
        <w:rPr>
          <w:rFonts w:ascii="Arial" w:hAnsi="Arial" w:cs="Arial"/>
          <w:b/>
          <w:sz w:val="20"/>
          <w:szCs w:val="20"/>
          <w:lang w:val="en-US"/>
        </w:rPr>
        <w:t xml:space="preserve">a medicinal product for prophylactic </w:t>
      </w:r>
      <w:r w:rsidRPr="00695C8A">
        <w:rPr>
          <w:rFonts w:ascii="Arial" w:hAnsi="Arial" w:cs="Arial"/>
          <w:b/>
          <w:sz w:val="20"/>
          <w:szCs w:val="20"/>
          <w:lang w:val="en-US"/>
        </w:rPr>
        <w:t>vaccination?</w:t>
      </w:r>
      <w:bookmarkEnd w:id="9"/>
      <w:r w:rsidRPr="00695C8A">
        <w:rPr>
          <w:rFonts w:ascii="Arial" w:hAnsi="Arial" w:cs="Arial"/>
          <w:b/>
          <w:sz w:val="20"/>
          <w:szCs w:val="20"/>
          <w:lang w:val="en-US"/>
        </w:rPr>
        <w:t xml:space="preserve"> </w:t>
      </w:r>
    </w:p>
    <w:p w14:paraId="6666412D" w14:textId="5261AB88" w:rsidR="001A2067" w:rsidRPr="00982472" w:rsidRDefault="001A2067" w:rsidP="001A2067">
      <w:pPr>
        <w:spacing w:before="120" w:after="240"/>
        <w:ind w:left="714"/>
        <w:jc w:val="both"/>
        <w:rPr>
          <w:rFonts w:ascii="Arial" w:hAnsi="Arial" w:cs="Arial"/>
          <w:sz w:val="20"/>
          <w:szCs w:val="20"/>
          <w:lang w:val="en-US"/>
        </w:rPr>
      </w:pPr>
      <w:r>
        <w:rPr>
          <w:rFonts w:ascii="Arial" w:hAnsi="Arial" w:cs="Arial"/>
          <w:sz w:val="20"/>
          <w:szCs w:val="20"/>
          <w:lang w:val="en-US"/>
        </w:rPr>
        <w:t xml:space="preserve">The prophylactic vaccination in healthy persons </w:t>
      </w:r>
      <w:r w:rsidR="00CB07EC">
        <w:rPr>
          <w:rFonts w:ascii="Arial" w:hAnsi="Arial" w:cs="Arial"/>
          <w:sz w:val="20"/>
          <w:szCs w:val="20"/>
          <w:lang w:val="en-US"/>
        </w:rPr>
        <w:t>falls</w:t>
      </w:r>
      <w:r>
        <w:rPr>
          <w:rFonts w:ascii="Arial" w:hAnsi="Arial" w:cs="Arial"/>
          <w:sz w:val="20"/>
          <w:szCs w:val="20"/>
          <w:lang w:val="en-US"/>
        </w:rPr>
        <w:t xml:space="preserve"> outside the scope of the compassionate use definition. Please be aware that Art. 110 of the RD of 14/12/2006 might be applicable</w:t>
      </w:r>
      <w:r w:rsidR="00CB07EC">
        <w:rPr>
          <w:rFonts w:ascii="Arial" w:hAnsi="Arial" w:cs="Arial"/>
          <w:sz w:val="20"/>
          <w:szCs w:val="20"/>
          <w:lang w:val="en-US"/>
        </w:rPr>
        <w:t xml:space="preserve"> for these cases</w:t>
      </w:r>
      <w:r>
        <w:rPr>
          <w:rFonts w:ascii="Arial" w:hAnsi="Arial" w:cs="Arial"/>
          <w:sz w:val="20"/>
          <w:szCs w:val="20"/>
          <w:lang w:val="en-US"/>
        </w:rPr>
        <w:t>.</w:t>
      </w:r>
    </w:p>
    <w:p w14:paraId="3EA9115C" w14:textId="77777777" w:rsidR="001A2067" w:rsidRDefault="001A2067" w:rsidP="00587079">
      <w:pPr>
        <w:pStyle w:val="Kop1"/>
        <w:numPr>
          <w:ilvl w:val="0"/>
          <w:numId w:val="2"/>
        </w:numPr>
        <w:spacing w:before="360" w:after="240"/>
        <w:ind w:left="567" w:hanging="425"/>
        <w:jc w:val="both"/>
        <w:rPr>
          <w:rStyle w:val="Zwaar"/>
          <w:rFonts w:ascii="Arial" w:hAnsi="Arial" w:cs="Arial"/>
          <w:b/>
          <w:color w:val="auto"/>
          <w:sz w:val="24"/>
          <w:szCs w:val="24"/>
          <w:u w:val="single"/>
          <w:lang w:val="en-US"/>
        </w:rPr>
      </w:pPr>
      <w:bookmarkStart w:id="10" w:name="_Ref1398067"/>
      <w:r w:rsidRPr="003579D2">
        <w:rPr>
          <w:rStyle w:val="Zwaar"/>
          <w:rFonts w:ascii="Arial" w:hAnsi="Arial" w:cs="Arial"/>
          <w:b/>
          <w:color w:val="auto"/>
          <w:sz w:val="24"/>
          <w:szCs w:val="24"/>
          <w:u w:val="single"/>
          <w:lang w:val="en-US"/>
        </w:rPr>
        <w:t>Application</w:t>
      </w:r>
      <w:bookmarkEnd w:id="10"/>
    </w:p>
    <w:p w14:paraId="770BB9C8" w14:textId="77777777" w:rsidR="001A2067" w:rsidRPr="003579D2" w:rsidRDefault="001A2067" w:rsidP="001A2067">
      <w:pPr>
        <w:pStyle w:val="Lijstalinea"/>
        <w:numPr>
          <w:ilvl w:val="0"/>
          <w:numId w:val="1"/>
        </w:numPr>
        <w:autoSpaceDE w:val="0"/>
        <w:autoSpaceDN w:val="0"/>
        <w:spacing w:before="120" w:after="120"/>
        <w:ind w:left="714" w:hanging="357"/>
        <w:jc w:val="both"/>
        <w:rPr>
          <w:rFonts w:ascii="Arial" w:hAnsi="Arial" w:cs="Arial"/>
          <w:b/>
          <w:sz w:val="20"/>
          <w:szCs w:val="20"/>
          <w:lang w:val="en-US"/>
        </w:rPr>
      </w:pPr>
      <w:bookmarkStart w:id="11" w:name="_Ref1398070"/>
      <w:r w:rsidRPr="003579D2">
        <w:rPr>
          <w:rFonts w:ascii="Arial" w:hAnsi="Arial" w:cs="Arial"/>
          <w:b/>
          <w:sz w:val="20"/>
          <w:szCs w:val="20"/>
          <w:lang w:val="en-US"/>
        </w:rPr>
        <w:t>Do we have to submit the complete EMA dossier?</w:t>
      </w:r>
      <w:bookmarkEnd w:id="11"/>
    </w:p>
    <w:p w14:paraId="17E312D0" w14:textId="77777777" w:rsidR="001A2067" w:rsidRPr="00C11411" w:rsidRDefault="001A2067" w:rsidP="001A2067">
      <w:pPr>
        <w:spacing w:after="240"/>
        <w:ind w:left="709"/>
        <w:jc w:val="both"/>
        <w:rPr>
          <w:rFonts w:ascii="Arial" w:hAnsi="Arial" w:cs="Arial"/>
          <w:sz w:val="20"/>
          <w:szCs w:val="20"/>
          <w:lang w:val="en-GB"/>
        </w:rPr>
      </w:pPr>
      <w:r w:rsidRPr="00C11411">
        <w:rPr>
          <w:rFonts w:ascii="Arial" w:hAnsi="Arial" w:cs="Arial"/>
          <w:sz w:val="20"/>
          <w:szCs w:val="20"/>
          <w:lang w:val="en-GB"/>
        </w:rPr>
        <w:t xml:space="preserve">If an application for Marketing Authorization has been introduced at EMA it is not necessary to provide the whole dossier. Please mention in the cover letter that an </w:t>
      </w:r>
      <w:r>
        <w:rPr>
          <w:rFonts w:ascii="Arial" w:hAnsi="Arial" w:cs="Arial"/>
          <w:sz w:val="20"/>
          <w:szCs w:val="20"/>
          <w:lang w:val="en-GB"/>
        </w:rPr>
        <w:t>MA</w:t>
      </w:r>
      <w:r w:rsidRPr="00C11411">
        <w:rPr>
          <w:rFonts w:ascii="Arial" w:hAnsi="Arial" w:cs="Arial"/>
          <w:sz w:val="20"/>
          <w:szCs w:val="20"/>
          <w:lang w:val="en-GB"/>
        </w:rPr>
        <w:t xml:space="preserve"> application has been introduced and the reference of the dossier. In this way we can consult the dossier.</w:t>
      </w:r>
    </w:p>
    <w:p w14:paraId="7D55716D" w14:textId="353D7143" w:rsidR="001A2067" w:rsidRPr="003579D2" w:rsidRDefault="001A2067" w:rsidP="001A2067">
      <w:pPr>
        <w:pStyle w:val="Lijstalinea"/>
        <w:numPr>
          <w:ilvl w:val="0"/>
          <w:numId w:val="1"/>
        </w:numPr>
        <w:spacing w:before="120" w:after="120"/>
        <w:jc w:val="both"/>
        <w:rPr>
          <w:rFonts w:ascii="Arial" w:hAnsi="Arial" w:cs="Arial"/>
          <w:b/>
          <w:sz w:val="20"/>
          <w:szCs w:val="20"/>
          <w:lang w:val="en-US"/>
        </w:rPr>
      </w:pPr>
      <w:bookmarkStart w:id="12" w:name="_Ref1398072"/>
      <w:r w:rsidRPr="003579D2">
        <w:rPr>
          <w:rFonts w:ascii="Arial" w:hAnsi="Arial" w:cs="Arial"/>
          <w:b/>
          <w:sz w:val="20"/>
          <w:szCs w:val="20"/>
          <w:lang w:val="en-US"/>
        </w:rPr>
        <w:t>Do we have to</w:t>
      </w:r>
      <w:r>
        <w:rPr>
          <w:rFonts w:ascii="Arial" w:hAnsi="Arial" w:cs="Arial"/>
          <w:b/>
          <w:sz w:val="20"/>
          <w:szCs w:val="20"/>
          <w:lang w:val="en-US"/>
        </w:rPr>
        <w:t xml:space="preserve"> use the protocol </w:t>
      </w:r>
      <w:r w:rsidR="00434C53">
        <w:rPr>
          <w:rFonts w:ascii="Arial" w:hAnsi="Arial" w:cs="Arial"/>
          <w:b/>
          <w:sz w:val="20"/>
          <w:szCs w:val="20"/>
          <w:lang w:val="en-US"/>
        </w:rPr>
        <w:t xml:space="preserve">and other </w:t>
      </w:r>
      <w:r>
        <w:rPr>
          <w:rFonts w:ascii="Arial" w:hAnsi="Arial" w:cs="Arial"/>
          <w:b/>
          <w:sz w:val="20"/>
          <w:szCs w:val="20"/>
          <w:lang w:val="en-US"/>
        </w:rPr>
        <w:t xml:space="preserve">templates available on the </w:t>
      </w:r>
      <w:hyperlink r:id="rId10" w:history="1">
        <w:r w:rsidRPr="001C7454">
          <w:rPr>
            <w:rStyle w:val="Hyperlink"/>
            <w:rFonts w:ascii="Arial" w:hAnsi="Arial" w:cs="Arial"/>
            <w:b/>
            <w:sz w:val="20"/>
            <w:szCs w:val="20"/>
            <w:lang w:val="en-US"/>
          </w:rPr>
          <w:t>website</w:t>
        </w:r>
      </w:hyperlink>
      <w:r w:rsidRPr="003579D2">
        <w:rPr>
          <w:rFonts w:ascii="Arial" w:hAnsi="Arial" w:cs="Arial"/>
          <w:b/>
          <w:sz w:val="20"/>
          <w:szCs w:val="20"/>
          <w:lang w:val="en-US"/>
        </w:rPr>
        <w:t>?</w:t>
      </w:r>
      <w:bookmarkEnd w:id="12"/>
    </w:p>
    <w:p w14:paraId="51ED67D2" w14:textId="40704A12" w:rsidR="001A2067" w:rsidRPr="003579D2" w:rsidRDefault="001A2067" w:rsidP="001A2067">
      <w:pPr>
        <w:spacing w:after="240"/>
        <w:ind w:left="709"/>
        <w:jc w:val="both"/>
        <w:rPr>
          <w:rFonts w:ascii="Arial" w:hAnsi="Arial" w:cs="Arial"/>
          <w:sz w:val="20"/>
          <w:szCs w:val="20"/>
          <w:lang w:val="en-US"/>
        </w:rPr>
      </w:pPr>
      <w:r>
        <w:rPr>
          <w:rFonts w:ascii="Arial" w:hAnsi="Arial" w:cs="Arial"/>
          <w:sz w:val="20"/>
          <w:szCs w:val="20"/>
          <w:lang w:val="en-US"/>
        </w:rPr>
        <w:t>It is highly recommended</w:t>
      </w:r>
      <w:r w:rsidR="003461B7">
        <w:rPr>
          <w:rFonts w:ascii="Arial" w:hAnsi="Arial" w:cs="Arial"/>
          <w:sz w:val="20"/>
          <w:szCs w:val="20"/>
          <w:lang w:val="en-US"/>
        </w:rPr>
        <w:t xml:space="preserve"> to</w:t>
      </w:r>
      <w:r>
        <w:rPr>
          <w:rFonts w:ascii="Arial" w:hAnsi="Arial" w:cs="Arial"/>
          <w:sz w:val="20"/>
          <w:szCs w:val="20"/>
          <w:lang w:val="en-US"/>
        </w:rPr>
        <w:t xml:space="preserve"> </w:t>
      </w:r>
      <w:r w:rsidR="00DB219E">
        <w:rPr>
          <w:rFonts w:ascii="Arial" w:hAnsi="Arial" w:cs="Arial"/>
          <w:sz w:val="20"/>
          <w:szCs w:val="20"/>
          <w:lang w:val="en-US"/>
        </w:rPr>
        <w:t>use the template</w:t>
      </w:r>
      <w:r>
        <w:rPr>
          <w:rFonts w:ascii="Arial" w:hAnsi="Arial" w:cs="Arial"/>
          <w:sz w:val="20"/>
          <w:szCs w:val="20"/>
          <w:lang w:val="en-US"/>
        </w:rPr>
        <w:t xml:space="preserve"> documents </w:t>
      </w:r>
      <w:r w:rsidR="00BC2C28">
        <w:rPr>
          <w:rFonts w:ascii="Arial" w:hAnsi="Arial" w:cs="Arial"/>
          <w:sz w:val="20"/>
          <w:szCs w:val="20"/>
          <w:lang w:val="en-US"/>
        </w:rPr>
        <w:t xml:space="preserve">in order to capture </w:t>
      </w:r>
      <w:r>
        <w:rPr>
          <w:rFonts w:ascii="Arial" w:hAnsi="Arial" w:cs="Arial"/>
          <w:sz w:val="20"/>
          <w:szCs w:val="20"/>
          <w:lang w:val="en-US"/>
        </w:rPr>
        <w:t xml:space="preserve"> all necessary information.</w:t>
      </w:r>
    </w:p>
    <w:p w14:paraId="7F8EEF3E" w14:textId="77777777" w:rsidR="001A2067" w:rsidRDefault="001A2067" w:rsidP="001A2067">
      <w:pPr>
        <w:pStyle w:val="Lijstalinea"/>
        <w:numPr>
          <w:ilvl w:val="0"/>
          <w:numId w:val="1"/>
        </w:numPr>
        <w:spacing w:after="120"/>
        <w:ind w:left="714" w:hanging="357"/>
        <w:jc w:val="both"/>
        <w:rPr>
          <w:rFonts w:ascii="Arial" w:hAnsi="Arial" w:cs="Arial"/>
          <w:b/>
          <w:sz w:val="20"/>
          <w:szCs w:val="20"/>
          <w:lang w:val="en-US"/>
        </w:rPr>
      </w:pPr>
      <w:bookmarkStart w:id="13" w:name="_Ref1398074"/>
      <w:r w:rsidRPr="003579D2">
        <w:rPr>
          <w:rFonts w:ascii="Arial" w:hAnsi="Arial" w:cs="Arial"/>
          <w:b/>
          <w:sz w:val="20"/>
          <w:szCs w:val="20"/>
          <w:lang w:val="en-US"/>
        </w:rPr>
        <w:t xml:space="preserve">What is </w:t>
      </w:r>
      <w:r>
        <w:rPr>
          <w:rFonts w:ascii="Arial" w:hAnsi="Arial" w:cs="Arial"/>
          <w:b/>
          <w:sz w:val="20"/>
          <w:szCs w:val="20"/>
          <w:lang w:val="en-US"/>
        </w:rPr>
        <w:t xml:space="preserve">the </w:t>
      </w:r>
      <w:r w:rsidRPr="003579D2">
        <w:rPr>
          <w:rFonts w:ascii="Arial" w:hAnsi="Arial" w:cs="Arial"/>
          <w:b/>
          <w:sz w:val="20"/>
          <w:szCs w:val="20"/>
          <w:lang w:val="en-US"/>
        </w:rPr>
        <w:t xml:space="preserve">purpose of </w:t>
      </w:r>
      <w:r>
        <w:rPr>
          <w:rFonts w:ascii="Arial" w:hAnsi="Arial" w:cs="Arial"/>
          <w:b/>
          <w:sz w:val="20"/>
          <w:szCs w:val="20"/>
          <w:lang w:val="en-US"/>
        </w:rPr>
        <w:t xml:space="preserve">the </w:t>
      </w:r>
      <w:r w:rsidRPr="003579D2">
        <w:rPr>
          <w:rFonts w:ascii="Arial" w:hAnsi="Arial" w:cs="Arial"/>
          <w:b/>
          <w:sz w:val="20"/>
          <w:szCs w:val="20"/>
          <w:lang w:val="en-US"/>
        </w:rPr>
        <w:t>‘Summarized information for publication’?</w:t>
      </w:r>
      <w:bookmarkEnd w:id="13"/>
    </w:p>
    <w:p w14:paraId="40B37144" w14:textId="2A297F1E" w:rsidR="001A2067" w:rsidRPr="00982472" w:rsidRDefault="001A2067" w:rsidP="000F594A">
      <w:pPr>
        <w:spacing w:before="120" w:after="240"/>
        <w:ind w:left="720"/>
        <w:jc w:val="both"/>
        <w:rPr>
          <w:rFonts w:ascii="Arial" w:hAnsi="Arial" w:cs="Arial"/>
          <w:b/>
          <w:sz w:val="20"/>
          <w:szCs w:val="20"/>
          <w:lang w:val="en-US"/>
        </w:rPr>
      </w:pPr>
      <w:r w:rsidRPr="003579D2">
        <w:rPr>
          <w:rFonts w:ascii="Arial" w:hAnsi="Arial" w:cs="Arial"/>
          <w:sz w:val="20"/>
          <w:szCs w:val="20"/>
          <w:lang w:val="en-US"/>
        </w:rPr>
        <w:t xml:space="preserve">The idea of the document ‘Summarized information for publication’ is to have a proposal made by the applicant so that there is clarity from the start of what will be made public at the end of the procedure regarding the </w:t>
      </w:r>
      <w:r>
        <w:rPr>
          <w:rFonts w:ascii="Arial" w:hAnsi="Arial" w:cs="Arial"/>
          <w:sz w:val="20"/>
          <w:szCs w:val="20"/>
          <w:lang w:val="en-US"/>
        </w:rPr>
        <w:t>conditions</w:t>
      </w:r>
      <w:r w:rsidRPr="003579D2">
        <w:rPr>
          <w:rFonts w:ascii="Arial" w:hAnsi="Arial" w:cs="Arial"/>
          <w:sz w:val="20"/>
          <w:szCs w:val="20"/>
          <w:lang w:val="en-US"/>
        </w:rPr>
        <w:t xml:space="preserve"> of the program. Therefore it should be written</w:t>
      </w:r>
      <w:r>
        <w:rPr>
          <w:rFonts w:ascii="Arial" w:hAnsi="Arial" w:cs="Arial"/>
          <w:sz w:val="20"/>
          <w:szCs w:val="20"/>
          <w:lang w:val="en-US"/>
        </w:rPr>
        <w:t xml:space="preserve"> with the patient in mind, i.e.</w:t>
      </w:r>
      <w:r w:rsidRPr="003579D2">
        <w:rPr>
          <w:rFonts w:ascii="Arial" w:hAnsi="Arial" w:cs="Arial"/>
          <w:sz w:val="20"/>
          <w:szCs w:val="20"/>
          <w:lang w:val="en-US"/>
        </w:rPr>
        <w:t xml:space="preserve"> in a user friendly way, suitable for a layman to understand. </w:t>
      </w:r>
      <w:r w:rsidRPr="00982472">
        <w:rPr>
          <w:rFonts w:ascii="Arial" w:hAnsi="Arial" w:cs="Arial"/>
          <w:sz w:val="20"/>
          <w:szCs w:val="20"/>
          <w:lang w:val="en-US"/>
        </w:rPr>
        <w:t xml:space="preserve">The </w:t>
      </w:r>
      <w:hyperlink r:id="rId11" w:history="1">
        <w:r w:rsidRPr="001C7454">
          <w:rPr>
            <w:rStyle w:val="Hyperlink"/>
            <w:rFonts w:ascii="Arial" w:hAnsi="Arial" w:cs="Arial"/>
            <w:sz w:val="20"/>
            <w:szCs w:val="20"/>
            <w:lang w:val="en-US"/>
          </w:rPr>
          <w:t>template</w:t>
        </w:r>
      </w:hyperlink>
      <w:r w:rsidRPr="00982472">
        <w:rPr>
          <w:rFonts w:ascii="Arial" w:hAnsi="Arial" w:cs="Arial"/>
          <w:sz w:val="20"/>
          <w:szCs w:val="20"/>
          <w:lang w:val="en-US"/>
        </w:rPr>
        <w:t xml:space="preserve"> of the Summarized information for publication is available on our website.</w:t>
      </w:r>
    </w:p>
    <w:p w14:paraId="3F0D0A21" w14:textId="77777777" w:rsidR="001A2067" w:rsidRDefault="001A2067" w:rsidP="001C7454">
      <w:pPr>
        <w:pStyle w:val="Lijstalinea"/>
        <w:numPr>
          <w:ilvl w:val="0"/>
          <w:numId w:val="1"/>
        </w:numPr>
        <w:spacing w:before="120" w:after="120"/>
        <w:ind w:left="714" w:hanging="357"/>
        <w:jc w:val="both"/>
        <w:rPr>
          <w:rFonts w:ascii="Arial" w:hAnsi="Arial" w:cs="Arial"/>
          <w:b/>
          <w:sz w:val="20"/>
          <w:szCs w:val="20"/>
          <w:lang w:val="en-US"/>
        </w:rPr>
      </w:pPr>
      <w:r w:rsidRPr="00582E02">
        <w:rPr>
          <w:rFonts w:ascii="Arial" w:hAnsi="Arial" w:cs="Arial"/>
          <w:b/>
          <w:sz w:val="20"/>
          <w:szCs w:val="20"/>
          <w:lang w:val="en-US"/>
        </w:rPr>
        <w:t xml:space="preserve"> </w:t>
      </w:r>
      <w:bookmarkStart w:id="14" w:name="_Ref1466326"/>
      <w:r w:rsidRPr="006F64AB">
        <w:rPr>
          <w:rFonts w:ascii="Arial" w:hAnsi="Arial" w:cs="Arial"/>
          <w:b/>
          <w:sz w:val="20"/>
          <w:szCs w:val="20"/>
          <w:lang w:val="en-US"/>
        </w:rPr>
        <w:t xml:space="preserve">What should be done if the shelf life of the medicinal product used in the </w:t>
      </w:r>
      <w:r w:rsidRPr="00F452DE">
        <w:rPr>
          <w:rFonts w:ascii="Arial" w:hAnsi="Arial" w:cs="Arial"/>
          <w:b/>
          <w:sz w:val="20"/>
          <w:szCs w:val="20"/>
          <w:lang w:val="en-US"/>
        </w:rPr>
        <w:t>UMN pr</w:t>
      </w:r>
      <w:r w:rsidRPr="006F64AB">
        <w:rPr>
          <w:rFonts w:ascii="Arial" w:hAnsi="Arial" w:cs="Arial"/>
          <w:b/>
          <w:sz w:val="20"/>
          <w:szCs w:val="20"/>
          <w:lang w:val="en-US"/>
        </w:rPr>
        <w:t>ogram is different for the commercial product?</w:t>
      </w:r>
      <w:bookmarkEnd w:id="14"/>
    </w:p>
    <w:p w14:paraId="724A7851" w14:textId="3292A9D3" w:rsidR="001A2067" w:rsidRDefault="001A2067" w:rsidP="001A2067">
      <w:pPr>
        <w:spacing w:before="120" w:after="240"/>
        <w:ind w:left="720"/>
        <w:jc w:val="both"/>
        <w:rPr>
          <w:rFonts w:ascii="Arial" w:hAnsi="Arial" w:cs="Arial"/>
          <w:sz w:val="20"/>
          <w:szCs w:val="20"/>
          <w:lang w:val="en-US"/>
        </w:rPr>
      </w:pPr>
      <w:r w:rsidRPr="006F64AB">
        <w:rPr>
          <w:rFonts w:ascii="Arial" w:hAnsi="Arial" w:cs="Arial"/>
          <w:sz w:val="20"/>
          <w:szCs w:val="20"/>
          <w:lang w:val="en-US"/>
        </w:rPr>
        <w:t>The IMPD for the compassionate use product containing the stability-extension protocol should be provided to support its shelf life</w:t>
      </w:r>
      <w:r w:rsidRPr="006D448C">
        <w:rPr>
          <w:rFonts w:ascii="Arial" w:hAnsi="Arial" w:cs="Arial"/>
          <w:sz w:val="20"/>
          <w:szCs w:val="20"/>
          <w:lang w:val="en-US"/>
        </w:rPr>
        <w:t>.</w:t>
      </w:r>
    </w:p>
    <w:p w14:paraId="664C22C2" w14:textId="77777777" w:rsidR="001A2067" w:rsidRPr="00587079" w:rsidRDefault="001A2067" w:rsidP="00587079">
      <w:pPr>
        <w:pStyle w:val="Kop1"/>
        <w:numPr>
          <w:ilvl w:val="0"/>
          <w:numId w:val="2"/>
        </w:numPr>
        <w:spacing w:before="360" w:after="240"/>
        <w:ind w:left="567" w:hanging="425"/>
        <w:jc w:val="both"/>
        <w:rPr>
          <w:rStyle w:val="Zwaar"/>
          <w:color w:val="auto"/>
          <w:u w:val="single"/>
        </w:rPr>
      </w:pPr>
      <w:bookmarkStart w:id="15" w:name="_Ref1466331"/>
      <w:r w:rsidRPr="00587079">
        <w:rPr>
          <w:rStyle w:val="Zwaar"/>
          <w:rFonts w:ascii="Arial" w:hAnsi="Arial" w:cs="Arial"/>
          <w:b/>
          <w:color w:val="auto"/>
          <w:sz w:val="24"/>
          <w:szCs w:val="24"/>
          <w:u w:val="single"/>
          <w:lang w:val="en-US"/>
        </w:rPr>
        <w:t>Labeling, distribution and delivery</w:t>
      </w:r>
      <w:bookmarkEnd w:id="15"/>
    </w:p>
    <w:p w14:paraId="11DE5681" w14:textId="77777777" w:rsidR="001A2067" w:rsidRPr="00DA798A" w:rsidRDefault="001A2067" w:rsidP="001A2067">
      <w:pPr>
        <w:pStyle w:val="Kop1"/>
        <w:numPr>
          <w:ilvl w:val="0"/>
          <w:numId w:val="1"/>
        </w:numPr>
        <w:spacing w:before="120" w:after="120"/>
        <w:jc w:val="both"/>
        <w:rPr>
          <w:rFonts w:ascii="Arial" w:hAnsi="Arial" w:cs="Arial"/>
          <w:color w:val="auto"/>
          <w:sz w:val="20"/>
          <w:szCs w:val="20"/>
          <w:lang w:val="en-GB"/>
        </w:rPr>
      </w:pPr>
      <w:bookmarkStart w:id="16" w:name="_Ref1466332"/>
      <w:r w:rsidRPr="00DA798A">
        <w:rPr>
          <w:rFonts w:ascii="Arial" w:hAnsi="Arial" w:cs="Arial"/>
          <w:color w:val="auto"/>
          <w:sz w:val="20"/>
          <w:szCs w:val="20"/>
          <w:lang w:val="en-US"/>
        </w:rPr>
        <w:t>What should be the labeling for</w:t>
      </w:r>
      <w:r>
        <w:rPr>
          <w:rFonts w:ascii="Arial" w:hAnsi="Arial" w:cs="Arial"/>
          <w:color w:val="auto"/>
          <w:sz w:val="20"/>
          <w:szCs w:val="20"/>
          <w:lang w:val="en-US"/>
        </w:rPr>
        <w:t xml:space="preserve"> the medicinal product used in </w:t>
      </w:r>
      <w:r w:rsidRPr="00DA798A">
        <w:rPr>
          <w:rFonts w:ascii="Arial" w:hAnsi="Arial" w:cs="Arial"/>
          <w:color w:val="auto"/>
          <w:sz w:val="20"/>
          <w:szCs w:val="20"/>
          <w:lang w:val="en-US"/>
        </w:rPr>
        <w:t>the</w:t>
      </w:r>
      <w:r w:rsidRPr="00DA798A">
        <w:rPr>
          <w:rFonts w:ascii="Arial" w:hAnsi="Arial" w:cs="Arial"/>
          <w:color w:val="auto"/>
          <w:sz w:val="20"/>
          <w:szCs w:val="20"/>
          <w:lang w:val="en-GB"/>
        </w:rPr>
        <w:t xml:space="preserve"> MNP if there is not yet a Belgian packaging available?</w:t>
      </w:r>
      <w:bookmarkEnd w:id="16"/>
      <w:r w:rsidRPr="00DA798A">
        <w:rPr>
          <w:rFonts w:ascii="Arial" w:hAnsi="Arial" w:cs="Arial"/>
          <w:color w:val="auto"/>
          <w:sz w:val="20"/>
          <w:szCs w:val="20"/>
          <w:lang w:val="en-GB"/>
        </w:rPr>
        <w:t xml:space="preserve"> </w:t>
      </w:r>
    </w:p>
    <w:p w14:paraId="48520B5B" w14:textId="1F975AD1" w:rsidR="006659BF" w:rsidRPr="004952DB" w:rsidRDefault="001A2067" w:rsidP="00986492">
      <w:pPr>
        <w:spacing w:after="240"/>
        <w:ind w:left="709"/>
        <w:jc w:val="both"/>
        <w:rPr>
          <w:rFonts w:ascii="Arial" w:hAnsi="Arial" w:cs="Arial"/>
          <w:sz w:val="20"/>
          <w:szCs w:val="20"/>
          <w:lang w:val="en-US"/>
        </w:rPr>
      </w:pPr>
      <w:r w:rsidRPr="00986492">
        <w:rPr>
          <w:rFonts w:ascii="Arial" w:hAnsi="Arial" w:cs="Arial"/>
          <w:sz w:val="20"/>
          <w:szCs w:val="20"/>
          <w:lang w:val="en-US"/>
        </w:rPr>
        <w:t>In case the product is not yet comm</w:t>
      </w:r>
      <w:r w:rsidRPr="006659BF">
        <w:rPr>
          <w:rFonts w:ascii="Arial" w:hAnsi="Arial" w:cs="Arial"/>
          <w:sz w:val="20"/>
          <w:szCs w:val="20"/>
          <w:lang w:val="en-US"/>
        </w:rPr>
        <w:t>ercially available in Belgium (no Belgian packs available) the label of the medication has to be conform with the Annex 13 of GMP Volume 4. In this last case, the requirement “for clinical trial use only” should be replaced by “MNP – cannot be sold”.</w:t>
      </w:r>
      <w:r w:rsidR="006659BF" w:rsidRPr="006659BF">
        <w:rPr>
          <w:rFonts w:ascii="Arial" w:hAnsi="Arial" w:cs="Arial"/>
          <w:sz w:val="20"/>
          <w:szCs w:val="20"/>
          <w:lang w:val="en-US"/>
        </w:rPr>
        <w:t xml:space="preserve"> </w:t>
      </w:r>
      <w:r w:rsidR="006659BF" w:rsidRPr="004952DB">
        <w:rPr>
          <w:rFonts w:ascii="Arial" w:hAnsi="Arial" w:cs="Arial"/>
          <w:sz w:val="20"/>
          <w:szCs w:val="20"/>
          <w:lang w:val="en-US"/>
        </w:rPr>
        <w:t xml:space="preserve">A labeling derogation (English labeling) is possible if patient does </w:t>
      </w:r>
      <w:r w:rsidR="006659BF">
        <w:rPr>
          <w:rFonts w:ascii="Arial" w:hAnsi="Arial" w:cs="Arial"/>
          <w:sz w:val="20"/>
          <w:szCs w:val="20"/>
          <w:lang w:val="en-US"/>
        </w:rPr>
        <w:t>not take the medication at home and</w:t>
      </w:r>
      <w:r w:rsidR="006659BF" w:rsidRPr="004952DB">
        <w:rPr>
          <w:rFonts w:ascii="Arial" w:hAnsi="Arial" w:cs="Arial"/>
          <w:sz w:val="20"/>
          <w:szCs w:val="20"/>
          <w:lang w:val="en-US"/>
        </w:rPr>
        <w:t xml:space="preserve"> if </w:t>
      </w:r>
      <w:r w:rsidR="006659BF" w:rsidRPr="006659BF">
        <w:rPr>
          <w:rFonts w:ascii="Arial" w:hAnsi="Arial" w:cs="Arial"/>
          <w:sz w:val="20"/>
          <w:szCs w:val="20"/>
          <w:lang w:val="en-US"/>
        </w:rPr>
        <w:t>the hospital staff that</w:t>
      </w:r>
      <w:r w:rsidR="006659BF" w:rsidRPr="004952DB">
        <w:rPr>
          <w:rFonts w:ascii="Arial" w:hAnsi="Arial" w:cs="Arial"/>
          <w:sz w:val="20"/>
          <w:szCs w:val="20"/>
          <w:lang w:val="en-US"/>
        </w:rPr>
        <w:t xml:space="preserve"> is in contact with the product understands the English language. If the patients takes the medicinal products home, the (hospital) pharmacist can stick labels in the 3 national languages. </w:t>
      </w:r>
      <w:r w:rsidR="006659BF">
        <w:rPr>
          <w:rFonts w:ascii="Arial" w:hAnsi="Arial" w:cs="Arial"/>
          <w:sz w:val="20"/>
          <w:szCs w:val="20"/>
          <w:lang w:val="en-US"/>
        </w:rPr>
        <w:t>These derogations should be notified in the cover letter of the application.</w:t>
      </w:r>
    </w:p>
    <w:p w14:paraId="0E1BE7DC" w14:textId="77777777" w:rsidR="001A2067" w:rsidRPr="003579D2" w:rsidRDefault="001A2067" w:rsidP="001A2067">
      <w:pPr>
        <w:pStyle w:val="Lijstalinea"/>
        <w:numPr>
          <w:ilvl w:val="0"/>
          <w:numId w:val="1"/>
        </w:numPr>
        <w:spacing w:after="120"/>
        <w:ind w:left="714" w:hanging="357"/>
        <w:rPr>
          <w:rFonts w:ascii="Arial" w:hAnsi="Arial" w:cs="Arial"/>
          <w:b/>
          <w:sz w:val="20"/>
          <w:szCs w:val="20"/>
          <w:lang w:val="en-GB"/>
        </w:rPr>
      </w:pPr>
      <w:bookmarkStart w:id="17" w:name="_Ref1466333"/>
      <w:r w:rsidRPr="003579D2">
        <w:rPr>
          <w:rFonts w:ascii="Arial" w:hAnsi="Arial" w:cs="Arial"/>
          <w:b/>
          <w:sz w:val="20"/>
          <w:szCs w:val="20"/>
          <w:lang w:val="en-GB"/>
        </w:rPr>
        <w:t>Do medicinal products used in a compassionate Use pro</w:t>
      </w:r>
      <w:r>
        <w:rPr>
          <w:rFonts w:ascii="Arial" w:hAnsi="Arial" w:cs="Arial"/>
          <w:b/>
          <w:sz w:val="20"/>
          <w:szCs w:val="20"/>
          <w:lang w:val="en-GB"/>
        </w:rPr>
        <w:t>gram, need to be released by a Q</w:t>
      </w:r>
      <w:r w:rsidRPr="003579D2">
        <w:rPr>
          <w:rFonts w:ascii="Arial" w:hAnsi="Arial" w:cs="Arial"/>
          <w:b/>
          <w:sz w:val="20"/>
          <w:szCs w:val="20"/>
          <w:lang w:val="en-GB"/>
        </w:rPr>
        <w:t>ualified Person prior to be used?</w:t>
      </w:r>
      <w:bookmarkEnd w:id="17"/>
    </w:p>
    <w:p w14:paraId="5F9A8EFA" w14:textId="01B9D808" w:rsidR="001A2067" w:rsidRPr="003579D2" w:rsidRDefault="001A2067" w:rsidP="00680F08">
      <w:pPr>
        <w:pStyle w:val="Lijstalinea"/>
        <w:spacing w:after="240"/>
        <w:jc w:val="both"/>
        <w:rPr>
          <w:rFonts w:ascii="Arial" w:hAnsi="Arial" w:cs="Arial"/>
          <w:sz w:val="20"/>
          <w:szCs w:val="20"/>
          <w:lang w:val="en-US"/>
        </w:rPr>
      </w:pPr>
      <w:r>
        <w:rPr>
          <w:rFonts w:ascii="Arial" w:hAnsi="Arial" w:cs="Arial"/>
          <w:sz w:val="20"/>
          <w:szCs w:val="20"/>
          <w:lang w:val="en-US"/>
        </w:rPr>
        <w:t>Yes, a release by a Qualified P</w:t>
      </w:r>
      <w:r w:rsidRPr="003579D2">
        <w:rPr>
          <w:rFonts w:ascii="Arial" w:hAnsi="Arial" w:cs="Arial"/>
          <w:sz w:val="20"/>
          <w:szCs w:val="20"/>
          <w:lang w:val="en-US"/>
        </w:rPr>
        <w:t xml:space="preserve">erson is always needed, regardless of the status of the medicinal product. The company that performs the release has to possess a </w:t>
      </w:r>
      <w:r>
        <w:rPr>
          <w:rFonts w:ascii="Arial" w:hAnsi="Arial" w:cs="Arial"/>
          <w:sz w:val="20"/>
          <w:szCs w:val="20"/>
          <w:lang w:val="en-US"/>
        </w:rPr>
        <w:t xml:space="preserve">European </w:t>
      </w:r>
      <w:r w:rsidRPr="003579D2">
        <w:rPr>
          <w:rFonts w:ascii="Arial" w:hAnsi="Arial" w:cs="Arial"/>
          <w:sz w:val="20"/>
          <w:szCs w:val="20"/>
          <w:lang w:val="en-US"/>
        </w:rPr>
        <w:t xml:space="preserve">manufacturing </w:t>
      </w:r>
      <w:r w:rsidR="006322F4">
        <w:rPr>
          <w:rFonts w:ascii="Arial" w:hAnsi="Arial" w:cs="Arial"/>
          <w:sz w:val="20"/>
          <w:szCs w:val="20"/>
          <w:lang w:val="en-US"/>
        </w:rPr>
        <w:t xml:space="preserve">and importation </w:t>
      </w:r>
      <w:r w:rsidRPr="003579D2">
        <w:rPr>
          <w:rFonts w:ascii="Arial" w:hAnsi="Arial" w:cs="Arial"/>
          <w:sz w:val="20"/>
          <w:szCs w:val="20"/>
          <w:lang w:val="en-US"/>
        </w:rPr>
        <w:t>authorization</w:t>
      </w:r>
      <w:r w:rsidR="006322F4">
        <w:rPr>
          <w:rFonts w:ascii="Arial" w:hAnsi="Arial" w:cs="Arial"/>
          <w:sz w:val="20"/>
          <w:szCs w:val="20"/>
          <w:lang w:val="en-US"/>
        </w:rPr>
        <w:t xml:space="preserve"> (MIA)</w:t>
      </w:r>
      <w:r w:rsidRPr="003579D2">
        <w:rPr>
          <w:rFonts w:ascii="Arial" w:hAnsi="Arial" w:cs="Arial"/>
          <w:sz w:val="20"/>
          <w:szCs w:val="20"/>
          <w:lang w:val="en-US"/>
        </w:rPr>
        <w:t>.</w:t>
      </w:r>
    </w:p>
    <w:p w14:paraId="476C0588" w14:textId="77777777" w:rsidR="001A2067" w:rsidRPr="003579D2" w:rsidRDefault="001A2067" w:rsidP="000F594A">
      <w:pPr>
        <w:pStyle w:val="Lijstalinea"/>
        <w:numPr>
          <w:ilvl w:val="0"/>
          <w:numId w:val="1"/>
        </w:numPr>
        <w:spacing w:after="120"/>
        <w:ind w:left="714" w:hanging="357"/>
        <w:jc w:val="both"/>
        <w:rPr>
          <w:rFonts w:ascii="Arial" w:hAnsi="Arial" w:cs="Arial"/>
          <w:b/>
          <w:sz w:val="20"/>
          <w:szCs w:val="20"/>
          <w:lang w:val="en-GB"/>
        </w:rPr>
      </w:pPr>
      <w:bookmarkStart w:id="18" w:name="_Ref1466335"/>
      <w:r w:rsidRPr="003579D2">
        <w:rPr>
          <w:rFonts w:ascii="Arial" w:hAnsi="Arial" w:cs="Arial"/>
          <w:b/>
          <w:sz w:val="20"/>
          <w:szCs w:val="20"/>
          <w:lang w:val="en-GB"/>
        </w:rPr>
        <w:lastRenderedPageBreak/>
        <w:t>On what basis can a (hospital) pharmacist deliver a medicinal product for unmet medical need?</w:t>
      </w:r>
      <w:bookmarkEnd w:id="18"/>
      <w:r w:rsidRPr="003579D2">
        <w:rPr>
          <w:rFonts w:ascii="Arial" w:hAnsi="Arial" w:cs="Arial"/>
          <w:b/>
          <w:sz w:val="20"/>
          <w:szCs w:val="20"/>
          <w:lang w:val="en-GB"/>
        </w:rPr>
        <w:t xml:space="preserve"> </w:t>
      </w:r>
    </w:p>
    <w:p w14:paraId="161CFDC9" w14:textId="62304169" w:rsidR="001A2067" w:rsidRDefault="00461B72" w:rsidP="008E2D5F">
      <w:pPr>
        <w:pStyle w:val="Lijstalinea"/>
        <w:spacing w:after="240"/>
        <w:ind w:left="709"/>
        <w:jc w:val="both"/>
        <w:rPr>
          <w:rFonts w:ascii="Arial" w:hAnsi="Arial" w:cs="Arial"/>
          <w:sz w:val="20"/>
          <w:szCs w:val="20"/>
          <w:lang w:val="en-US"/>
        </w:rPr>
      </w:pPr>
      <w:r>
        <w:rPr>
          <w:rFonts w:ascii="Arial" w:hAnsi="Arial" w:cs="Arial"/>
          <w:sz w:val="20"/>
          <w:szCs w:val="20"/>
          <w:lang w:val="en-US"/>
        </w:rPr>
        <w:t>Although a common prescription is not necessary, i</w:t>
      </w:r>
      <w:r w:rsidR="001A2067" w:rsidRPr="003579D2">
        <w:rPr>
          <w:rFonts w:ascii="Arial" w:hAnsi="Arial" w:cs="Arial"/>
          <w:sz w:val="20"/>
          <w:szCs w:val="20"/>
          <w:lang w:val="en-US"/>
        </w:rPr>
        <w:t>t is highly recommended to use a form for obtaining the medicinal product, completed by the treating physician with the coordinates of the patient.</w:t>
      </w:r>
      <w:r w:rsidR="001A2067">
        <w:rPr>
          <w:rFonts w:ascii="Arial" w:hAnsi="Arial" w:cs="Arial"/>
          <w:sz w:val="20"/>
          <w:szCs w:val="20"/>
          <w:lang w:val="en-US"/>
        </w:rPr>
        <w:t xml:space="preserve"> </w:t>
      </w:r>
    </w:p>
    <w:p w14:paraId="2355CAD1" w14:textId="77777777" w:rsidR="00CF3674" w:rsidRPr="00CF3674" w:rsidRDefault="00CF3674" w:rsidP="00CF3674">
      <w:pPr>
        <w:pStyle w:val="Lijstalinea"/>
        <w:numPr>
          <w:ilvl w:val="0"/>
          <w:numId w:val="1"/>
        </w:numPr>
        <w:spacing w:after="120"/>
        <w:ind w:left="714" w:hanging="357"/>
        <w:jc w:val="both"/>
        <w:rPr>
          <w:rFonts w:ascii="Arial" w:hAnsi="Arial" w:cs="Arial"/>
          <w:sz w:val="20"/>
          <w:szCs w:val="20"/>
          <w:lang w:val="en-US"/>
        </w:rPr>
      </w:pPr>
      <w:r w:rsidRPr="00CF3674">
        <w:rPr>
          <w:rFonts w:ascii="Arial" w:hAnsi="Arial" w:cs="Arial"/>
          <w:b/>
          <w:sz w:val="20"/>
          <w:szCs w:val="20"/>
          <w:lang w:val="en-GB"/>
        </w:rPr>
        <w:t>In case a product used in a</w:t>
      </w:r>
      <w:r>
        <w:rPr>
          <w:rFonts w:ascii="Arial" w:hAnsi="Arial" w:cs="Arial"/>
          <w:b/>
          <w:sz w:val="20"/>
          <w:szCs w:val="20"/>
          <w:lang w:val="en-GB"/>
        </w:rPr>
        <w:t>n</w:t>
      </w:r>
      <w:r w:rsidRPr="00CF3674">
        <w:rPr>
          <w:rFonts w:ascii="Arial" w:hAnsi="Arial" w:cs="Arial"/>
          <w:b/>
          <w:sz w:val="20"/>
          <w:szCs w:val="20"/>
          <w:lang w:val="en-GB"/>
        </w:rPr>
        <w:t xml:space="preserve"> Unmet Need Program is currently QP released in the UK, </w:t>
      </w:r>
      <w:r>
        <w:rPr>
          <w:rFonts w:ascii="Arial" w:hAnsi="Arial" w:cs="Arial"/>
          <w:b/>
          <w:sz w:val="20"/>
          <w:szCs w:val="20"/>
          <w:lang w:val="en-GB"/>
        </w:rPr>
        <w:t xml:space="preserve">will </w:t>
      </w:r>
      <w:r w:rsidRPr="00CF3674">
        <w:rPr>
          <w:rFonts w:ascii="Arial" w:hAnsi="Arial" w:cs="Arial"/>
          <w:b/>
          <w:sz w:val="20"/>
          <w:szCs w:val="20"/>
          <w:lang w:val="en-GB"/>
        </w:rPr>
        <w:t>a EU QP release site be required after Brexit</w:t>
      </w:r>
      <w:r>
        <w:rPr>
          <w:rFonts w:ascii="Arial" w:hAnsi="Arial" w:cs="Arial"/>
          <w:b/>
          <w:sz w:val="20"/>
          <w:szCs w:val="20"/>
          <w:lang w:val="en-GB"/>
        </w:rPr>
        <w:t>?</w:t>
      </w:r>
      <w:r w:rsidRPr="00A44A5F">
        <w:rPr>
          <w:color w:val="1F497D"/>
          <w:lang w:val="en-GB"/>
        </w:rPr>
        <w:t xml:space="preserve"> </w:t>
      </w:r>
    </w:p>
    <w:p w14:paraId="4E260224" w14:textId="7545E7F9" w:rsidR="00CF3674" w:rsidRDefault="00CF3674" w:rsidP="00CF3674">
      <w:pPr>
        <w:pStyle w:val="Lijstalinea"/>
        <w:spacing w:after="240"/>
        <w:ind w:left="709"/>
        <w:jc w:val="both"/>
        <w:rPr>
          <w:rFonts w:ascii="Arial" w:hAnsi="Arial" w:cs="Arial"/>
          <w:sz w:val="20"/>
          <w:szCs w:val="20"/>
          <w:lang w:val="en-US"/>
        </w:rPr>
      </w:pPr>
      <w:r>
        <w:rPr>
          <w:rFonts w:ascii="Arial" w:hAnsi="Arial" w:cs="Arial"/>
          <w:sz w:val="20"/>
          <w:szCs w:val="20"/>
          <w:lang w:val="en-US"/>
        </w:rPr>
        <w:t>Yes</w:t>
      </w:r>
      <w:r w:rsidR="006322F4">
        <w:rPr>
          <w:rFonts w:ascii="Arial" w:hAnsi="Arial" w:cs="Arial"/>
          <w:sz w:val="20"/>
          <w:szCs w:val="20"/>
          <w:lang w:val="en-US"/>
        </w:rPr>
        <w:t xml:space="preserve"> as the UK will be considered a third-party country</w:t>
      </w:r>
      <w:r>
        <w:rPr>
          <w:rFonts w:ascii="Arial" w:hAnsi="Arial" w:cs="Arial"/>
          <w:sz w:val="20"/>
          <w:szCs w:val="20"/>
          <w:lang w:val="en-US"/>
        </w:rPr>
        <w:t xml:space="preserve">. </w:t>
      </w:r>
      <w:r w:rsidRPr="00CF3674">
        <w:rPr>
          <w:rFonts w:ascii="Arial" w:hAnsi="Arial" w:cs="Arial"/>
          <w:sz w:val="20"/>
          <w:szCs w:val="20"/>
          <w:lang w:val="en-US"/>
        </w:rPr>
        <w:t>If regarding this change, documents submitted in the scope of this CUP need to be updated, this should be done by non-substantial amendment.</w:t>
      </w:r>
    </w:p>
    <w:p w14:paraId="5F98D870" w14:textId="326C619B" w:rsidR="001A2067" w:rsidRPr="00587079" w:rsidRDefault="001A2067" w:rsidP="00587079">
      <w:pPr>
        <w:pStyle w:val="Kop1"/>
        <w:numPr>
          <w:ilvl w:val="0"/>
          <w:numId w:val="2"/>
        </w:numPr>
        <w:spacing w:before="360" w:after="240"/>
        <w:ind w:left="567" w:hanging="425"/>
        <w:jc w:val="both"/>
        <w:rPr>
          <w:rStyle w:val="Zwaar"/>
          <w:rFonts w:ascii="Arial" w:hAnsi="Arial" w:cs="Arial"/>
          <w:b/>
          <w:color w:val="auto"/>
          <w:sz w:val="24"/>
          <w:szCs w:val="24"/>
          <w:u w:val="single"/>
          <w:lang w:val="en-US"/>
        </w:rPr>
      </w:pPr>
      <w:bookmarkStart w:id="19" w:name="_Ref1466336"/>
      <w:r w:rsidRPr="00BB6B70">
        <w:rPr>
          <w:rStyle w:val="Zwaar"/>
          <w:rFonts w:ascii="Arial" w:hAnsi="Arial" w:cs="Arial"/>
          <w:b/>
          <w:color w:val="auto"/>
          <w:sz w:val="24"/>
          <w:szCs w:val="24"/>
          <w:u w:val="single"/>
          <w:lang w:val="en-US"/>
        </w:rPr>
        <w:t>Ongoing programs</w:t>
      </w:r>
      <w:bookmarkEnd w:id="19"/>
    </w:p>
    <w:p w14:paraId="0CBAA1B8" w14:textId="77777777" w:rsidR="00941BF0" w:rsidRPr="003579D2" w:rsidRDefault="00941BF0" w:rsidP="00941BF0">
      <w:pPr>
        <w:pStyle w:val="Lijstalinea"/>
        <w:numPr>
          <w:ilvl w:val="0"/>
          <w:numId w:val="1"/>
        </w:numPr>
        <w:spacing w:before="120" w:after="120"/>
        <w:jc w:val="both"/>
        <w:rPr>
          <w:rFonts w:ascii="Arial" w:hAnsi="Arial" w:cs="Arial"/>
          <w:b/>
          <w:sz w:val="20"/>
          <w:szCs w:val="20"/>
          <w:lang w:val="en-GB"/>
        </w:rPr>
      </w:pPr>
      <w:bookmarkStart w:id="20" w:name="_Ref1466329"/>
      <w:bookmarkStart w:id="21" w:name="_Ref1466338"/>
      <w:bookmarkStart w:id="22" w:name="_Ref1466337"/>
      <w:r w:rsidRPr="003579D2">
        <w:rPr>
          <w:rFonts w:ascii="Arial" w:hAnsi="Arial" w:cs="Arial"/>
          <w:b/>
          <w:sz w:val="20"/>
          <w:szCs w:val="20"/>
          <w:lang w:val="en-GB"/>
        </w:rPr>
        <w:t>What are the responsibilities of the actors in a CUP/MNP?</w:t>
      </w:r>
      <w:bookmarkEnd w:id="20"/>
    </w:p>
    <w:tbl>
      <w:tblPr>
        <w:tblStyle w:val="Tabelraster"/>
        <w:tblW w:w="8384" w:type="dxa"/>
        <w:tblInd w:w="695" w:type="dxa"/>
        <w:tblLook w:val="04A0" w:firstRow="1" w:lastRow="0" w:firstColumn="1" w:lastColumn="0" w:noHBand="0" w:noVBand="1"/>
      </w:tblPr>
      <w:tblGrid>
        <w:gridCol w:w="4192"/>
        <w:gridCol w:w="4192"/>
      </w:tblGrid>
      <w:tr w:rsidR="00941BF0" w:rsidRPr="006322F4" w14:paraId="4349AEDB" w14:textId="77777777" w:rsidTr="00A268D7">
        <w:trPr>
          <w:trHeight w:val="200"/>
        </w:trPr>
        <w:tc>
          <w:tcPr>
            <w:tcW w:w="4192" w:type="dxa"/>
          </w:tcPr>
          <w:p w14:paraId="6EDAD633" w14:textId="77777777" w:rsidR="00941BF0" w:rsidRPr="003579D2" w:rsidRDefault="00941BF0" w:rsidP="00A268D7">
            <w:pPr>
              <w:jc w:val="both"/>
              <w:rPr>
                <w:rFonts w:ascii="Arial" w:hAnsi="Arial" w:cs="Arial"/>
                <w:b/>
                <w:sz w:val="20"/>
                <w:szCs w:val="20"/>
                <w:lang w:val="en-US"/>
              </w:rPr>
            </w:pPr>
            <w:r w:rsidRPr="003579D2">
              <w:rPr>
                <w:rFonts w:ascii="Arial" w:hAnsi="Arial" w:cs="Arial"/>
                <w:b/>
                <w:sz w:val="20"/>
                <w:szCs w:val="20"/>
                <w:lang w:val="en-US"/>
              </w:rPr>
              <w:t>Actors</w:t>
            </w:r>
            <w:r>
              <w:rPr>
                <w:rFonts w:ascii="Arial" w:hAnsi="Arial" w:cs="Arial"/>
                <w:b/>
                <w:sz w:val="20"/>
                <w:szCs w:val="20"/>
                <w:lang w:val="en-US"/>
              </w:rPr>
              <w:t xml:space="preserve"> - modalities</w:t>
            </w:r>
          </w:p>
        </w:tc>
        <w:tc>
          <w:tcPr>
            <w:tcW w:w="4192" w:type="dxa"/>
          </w:tcPr>
          <w:p w14:paraId="5C5851DF" w14:textId="77777777" w:rsidR="00941BF0" w:rsidRPr="003579D2" w:rsidRDefault="00941BF0" w:rsidP="00A268D7">
            <w:pPr>
              <w:jc w:val="both"/>
              <w:rPr>
                <w:rFonts w:ascii="Arial" w:hAnsi="Arial" w:cs="Arial"/>
                <w:b/>
                <w:sz w:val="20"/>
                <w:szCs w:val="20"/>
                <w:lang w:val="en-US"/>
              </w:rPr>
            </w:pPr>
            <w:r w:rsidRPr="000F243C">
              <w:rPr>
                <w:rFonts w:ascii="Arial" w:hAnsi="Arial" w:cs="Arial"/>
                <w:b/>
                <w:sz w:val="20"/>
                <w:szCs w:val="20"/>
                <w:lang w:val="en-US"/>
              </w:rPr>
              <w:t>Responsibilities</w:t>
            </w:r>
          </w:p>
        </w:tc>
      </w:tr>
      <w:tr w:rsidR="00941BF0" w:rsidRPr="006322F4" w14:paraId="04D6D090" w14:textId="77777777" w:rsidTr="00A268D7">
        <w:trPr>
          <w:trHeight w:val="799"/>
        </w:trPr>
        <w:tc>
          <w:tcPr>
            <w:tcW w:w="4192" w:type="dxa"/>
          </w:tcPr>
          <w:p w14:paraId="7CC5CF09" w14:textId="77777777" w:rsidR="00941BF0" w:rsidRDefault="00941BF0" w:rsidP="007E235F">
            <w:pPr>
              <w:spacing w:before="120" w:after="120"/>
              <w:jc w:val="both"/>
              <w:rPr>
                <w:rFonts w:ascii="Arial" w:hAnsi="Arial" w:cs="Arial"/>
                <w:sz w:val="20"/>
                <w:szCs w:val="20"/>
                <w:lang w:val="en-US"/>
              </w:rPr>
            </w:pPr>
            <w:r w:rsidRPr="00553939">
              <w:rPr>
                <w:rFonts w:ascii="Arial" w:hAnsi="Arial" w:cs="Arial"/>
                <w:b/>
                <w:sz w:val="20"/>
                <w:szCs w:val="20"/>
                <w:lang w:val="en-US"/>
              </w:rPr>
              <w:t>Treating physician</w:t>
            </w:r>
            <w:r>
              <w:rPr>
                <w:rFonts w:ascii="Arial" w:hAnsi="Arial" w:cs="Arial"/>
                <w:sz w:val="20"/>
                <w:szCs w:val="20"/>
                <w:lang w:val="en-US"/>
              </w:rPr>
              <w:t xml:space="preserve"> </w:t>
            </w:r>
          </w:p>
          <w:p w14:paraId="4BA49769" w14:textId="77777777" w:rsidR="00941BF0" w:rsidRPr="00F21526" w:rsidRDefault="00941BF0" w:rsidP="00A268D7">
            <w:pPr>
              <w:pStyle w:val="Lijstalinea"/>
              <w:numPr>
                <w:ilvl w:val="0"/>
                <w:numId w:val="5"/>
              </w:numPr>
              <w:jc w:val="both"/>
              <w:rPr>
                <w:rFonts w:ascii="Arial" w:hAnsi="Arial" w:cs="Arial"/>
                <w:sz w:val="20"/>
                <w:szCs w:val="20"/>
                <w:lang w:val="en-US"/>
              </w:rPr>
            </w:pPr>
            <w:r w:rsidRPr="00F21526">
              <w:rPr>
                <w:rFonts w:ascii="Arial" w:hAnsi="Arial" w:cs="Arial"/>
                <w:sz w:val="20"/>
                <w:szCs w:val="20"/>
                <w:lang w:val="en-US"/>
              </w:rPr>
              <w:t xml:space="preserve">any </w:t>
            </w:r>
            <w:r>
              <w:rPr>
                <w:rFonts w:ascii="Arial" w:hAnsi="Arial" w:cs="Arial"/>
                <w:sz w:val="20"/>
                <w:szCs w:val="20"/>
                <w:lang w:val="en-US"/>
              </w:rPr>
              <w:t>Belgian</w:t>
            </w:r>
            <w:r w:rsidRPr="00F21526">
              <w:rPr>
                <w:rFonts w:ascii="Arial" w:hAnsi="Arial" w:cs="Arial"/>
                <w:sz w:val="20"/>
                <w:szCs w:val="20"/>
                <w:lang w:val="en-US"/>
              </w:rPr>
              <w:t xml:space="preserve"> physician</w:t>
            </w:r>
          </w:p>
        </w:tc>
        <w:tc>
          <w:tcPr>
            <w:tcW w:w="4192" w:type="dxa"/>
          </w:tcPr>
          <w:p w14:paraId="04517CD4" w14:textId="77777777" w:rsidR="00941BF0" w:rsidRDefault="00941BF0" w:rsidP="00A268D7">
            <w:pPr>
              <w:pStyle w:val="Lijstalinea"/>
              <w:ind w:left="360"/>
              <w:jc w:val="both"/>
              <w:rPr>
                <w:rFonts w:ascii="Arial" w:hAnsi="Arial" w:cs="Arial"/>
                <w:sz w:val="20"/>
                <w:szCs w:val="20"/>
                <w:lang w:val="en-US"/>
              </w:rPr>
            </w:pPr>
          </w:p>
          <w:p w14:paraId="3C04EBCF" w14:textId="77777777" w:rsidR="007E235F" w:rsidRDefault="007E235F" w:rsidP="00A268D7">
            <w:pPr>
              <w:pStyle w:val="Lijstalinea"/>
              <w:ind w:left="360"/>
              <w:jc w:val="both"/>
              <w:rPr>
                <w:rFonts w:ascii="Arial" w:hAnsi="Arial" w:cs="Arial"/>
                <w:sz w:val="20"/>
                <w:szCs w:val="20"/>
                <w:lang w:val="en-US"/>
              </w:rPr>
            </w:pPr>
          </w:p>
          <w:p w14:paraId="452E70C9" w14:textId="0D156FC0" w:rsidR="00941BF0" w:rsidRPr="00F21526" w:rsidRDefault="00941BF0" w:rsidP="00A268D7">
            <w:pPr>
              <w:pStyle w:val="Lijstalinea"/>
              <w:numPr>
                <w:ilvl w:val="0"/>
                <w:numId w:val="5"/>
              </w:numPr>
              <w:jc w:val="both"/>
              <w:rPr>
                <w:rFonts w:ascii="Arial" w:hAnsi="Arial" w:cs="Arial"/>
                <w:sz w:val="20"/>
                <w:szCs w:val="20"/>
                <w:lang w:val="en-US"/>
              </w:rPr>
            </w:pPr>
            <w:r w:rsidRPr="00F21526">
              <w:rPr>
                <w:rFonts w:ascii="Arial" w:hAnsi="Arial" w:cs="Arial"/>
                <w:sz w:val="20"/>
                <w:szCs w:val="20"/>
                <w:lang w:val="en-US"/>
              </w:rPr>
              <w:t xml:space="preserve">Explain the ICF and </w:t>
            </w:r>
            <w:r w:rsidR="003A6929">
              <w:rPr>
                <w:rFonts w:ascii="Arial" w:hAnsi="Arial" w:cs="Arial"/>
                <w:sz w:val="20"/>
                <w:szCs w:val="20"/>
                <w:lang w:val="en-US"/>
              </w:rPr>
              <w:t>the benefit/risk to the patient</w:t>
            </w:r>
          </w:p>
          <w:p w14:paraId="21A9A976" w14:textId="31798A4C" w:rsidR="00941BF0" w:rsidRPr="00F21526" w:rsidRDefault="00941BF0" w:rsidP="003A6929">
            <w:pPr>
              <w:pStyle w:val="Lijstalinea"/>
              <w:numPr>
                <w:ilvl w:val="0"/>
                <w:numId w:val="5"/>
              </w:numPr>
              <w:jc w:val="both"/>
              <w:rPr>
                <w:rFonts w:ascii="Arial" w:hAnsi="Arial" w:cs="Arial"/>
                <w:sz w:val="20"/>
                <w:szCs w:val="20"/>
                <w:lang w:val="en-US"/>
              </w:rPr>
            </w:pPr>
            <w:r w:rsidRPr="00F21526">
              <w:rPr>
                <w:rFonts w:ascii="Arial" w:hAnsi="Arial" w:cs="Arial"/>
                <w:sz w:val="20"/>
                <w:szCs w:val="20"/>
                <w:lang w:val="en-US"/>
              </w:rPr>
              <w:t xml:space="preserve">Send </w:t>
            </w:r>
            <w:r w:rsidR="003A6929">
              <w:rPr>
                <w:rFonts w:ascii="Arial" w:hAnsi="Arial" w:cs="Arial"/>
                <w:sz w:val="20"/>
                <w:szCs w:val="20"/>
                <w:lang w:val="en-US"/>
              </w:rPr>
              <w:t>his</w:t>
            </w:r>
            <w:r w:rsidRPr="00F21526">
              <w:rPr>
                <w:rFonts w:ascii="Arial" w:hAnsi="Arial" w:cs="Arial"/>
                <w:sz w:val="20"/>
                <w:szCs w:val="20"/>
                <w:lang w:val="en-US"/>
              </w:rPr>
              <w:t xml:space="preserve"> motivated request to the responsible physician with a signed ICF and a copy of</w:t>
            </w:r>
            <w:r w:rsidR="007E235F">
              <w:rPr>
                <w:rFonts w:ascii="Arial" w:hAnsi="Arial" w:cs="Arial"/>
                <w:sz w:val="20"/>
                <w:szCs w:val="20"/>
                <w:lang w:val="en-US"/>
              </w:rPr>
              <w:t xml:space="preserve"> the</w:t>
            </w:r>
            <w:r w:rsidRPr="00F21526">
              <w:rPr>
                <w:rFonts w:ascii="Arial" w:hAnsi="Arial" w:cs="Arial"/>
                <w:sz w:val="20"/>
                <w:szCs w:val="20"/>
                <w:lang w:val="en-US"/>
              </w:rPr>
              <w:t xml:space="preserve"> identity </w:t>
            </w:r>
            <w:r w:rsidR="007E235F">
              <w:rPr>
                <w:rFonts w:ascii="Arial" w:hAnsi="Arial" w:cs="Arial"/>
                <w:sz w:val="20"/>
                <w:szCs w:val="20"/>
                <w:lang w:val="en-US"/>
              </w:rPr>
              <w:t xml:space="preserve">card </w:t>
            </w:r>
            <w:r w:rsidR="003A6929">
              <w:rPr>
                <w:rFonts w:ascii="Arial" w:hAnsi="Arial" w:cs="Arial"/>
                <w:sz w:val="20"/>
                <w:szCs w:val="20"/>
                <w:lang w:val="en-US"/>
              </w:rPr>
              <w:t>of the patient*</w:t>
            </w:r>
          </w:p>
        </w:tc>
      </w:tr>
      <w:tr w:rsidR="00941BF0" w:rsidRPr="006322F4" w14:paraId="03CCCD60" w14:textId="77777777" w:rsidTr="00A268D7">
        <w:trPr>
          <w:trHeight w:val="609"/>
        </w:trPr>
        <w:tc>
          <w:tcPr>
            <w:tcW w:w="4192" w:type="dxa"/>
          </w:tcPr>
          <w:p w14:paraId="400BDCBC" w14:textId="77777777" w:rsidR="00941BF0" w:rsidRPr="00553939" w:rsidRDefault="00941BF0" w:rsidP="007E235F">
            <w:pPr>
              <w:spacing w:before="120" w:after="120"/>
              <w:jc w:val="both"/>
              <w:rPr>
                <w:rFonts w:ascii="Arial" w:hAnsi="Arial" w:cs="Arial"/>
                <w:b/>
                <w:sz w:val="20"/>
                <w:szCs w:val="20"/>
                <w:lang w:val="en-US"/>
              </w:rPr>
            </w:pPr>
            <w:r w:rsidRPr="00553939">
              <w:rPr>
                <w:rFonts w:ascii="Arial" w:hAnsi="Arial" w:cs="Arial"/>
                <w:b/>
                <w:sz w:val="20"/>
                <w:szCs w:val="20"/>
                <w:lang w:val="en-US"/>
              </w:rPr>
              <w:t xml:space="preserve">Responsible physician </w:t>
            </w:r>
          </w:p>
          <w:p w14:paraId="221FE985" w14:textId="77777777" w:rsidR="00941BF0" w:rsidRPr="00F21526" w:rsidRDefault="00941BF0" w:rsidP="00A268D7">
            <w:pPr>
              <w:pStyle w:val="Lijstalinea"/>
              <w:numPr>
                <w:ilvl w:val="0"/>
                <w:numId w:val="5"/>
              </w:numPr>
              <w:jc w:val="both"/>
              <w:rPr>
                <w:rFonts w:ascii="Arial" w:hAnsi="Arial" w:cs="Arial"/>
                <w:sz w:val="20"/>
                <w:szCs w:val="20"/>
                <w:lang w:val="en-US"/>
              </w:rPr>
            </w:pPr>
            <w:r>
              <w:rPr>
                <w:rFonts w:ascii="Arial" w:hAnsi="Arial" w:cs="Arial"/>
                <w:sz w:val="20"/>
                <w:szCs w:val="20"/>
                <w:lang w:val="en-US"/>
              </w:rPr>
              <w:t>A</w:t>
            </w:r>
            <w:r w:rsidRPr="00F21526">
              <w:rPr>
                <w:rFonts w:ascii="Arial" w:hAnsi="Arial" w:cs="Arial"/>
                <w:sz w:val="20"/>
                <w:szCs w:val="20"/>
                <w:lang w:val="en-US"/>
              </w:rPr>
              <w:t xml:space="preserve"> physician understood as stipulated in the Royal Decree </w:t>
            </w:r>
            <w:proofErr w:type="spellStart"/>
            <w:r w:rsidRPr="00F21526">
              <w:rPr>
                <w:rFonts w:ascii="Arial" w:hAnsi="Arial" w:cs="Arial"/>
                <w:sz w:val="20"/>
                <w:szCs w:val="20"/>
                <w:lang w:val="en-US"/>
              </w:rPr>
              <w:t>nr</w:t>
            </w:r>
            <w:proofErr w:type="spellEnd"/>
            <w:r w:rsidRPr="00F21526">
              <w:rPr>
                <w:rFonts w:ascii="Arial" w:hAnsi="Arial" w:cs="Arial"/>
                <w:sz w:val="20"/>
                <w:szCs w:val="20"/>
                <w:lang w:val="en-US"/>
              </w:rPr>
              <w:t>. 78. The task of the responsible physician falls within the practice of medicine (art. 2) and so art. 7 (license to practice) is applicable. This assures (because of the ethical oversight) the independency of the responsible physician with respect to</w:t>
            </w:r>
            <w:r>
              <w:rPr>
                <w:rFonts w:ascii="Arial" w:hAnsi="Arial" w:cs="Arial"/>
                <w:sz w:val="20"/>
                <w:szCs w:val="20"/>
                <w:lang w:val="en-US"/>
              </w:rPr>
              <w:t xml:space="preserve"> the responsible of the program</w:t>
            </w:r>
          </w:p>
          <w:p w14:paraId="3D4E6942" w14:textId="77777777" w:rsidR="00941BF0" w:rsidRDefault="00941BF0" w:rsidP="00A268D7">
            <w:pPr>
              <w:pStyle w:val="Lijstalinea"/>
              <w:numPr>
                <w:ilvl w:val="0"/>
                <w:numId w:val="5"/>
              </w:numPr>
              <w:ind w:left="357" w:hanging="357"/>
              <w:jc w:val="both"/>
              <w:rPr>
                <w:rFonts w:ascii="Arial" w:hAnsi="Arial" w:cs="Arial"/>
                <w:sz w:val="20"/>
                <w:szCs w:val="20"/>
                <w:lang w:val="en-US"/>
              </w:rPr>
            </w:pPr>
            <w:r>
              <w:rPr>
                <w:rFonts w:ascii="Arial" w:hAnsi="Arial" w:cs="Arial"/>
                <w:sz w:val="20"/>
                <w:szCs w:val="20"/>
                <w:lang w:val="en-US"/>
              </w:rPr>
              <w:t>T</w:t>
            </w:r>
            <w:r w:rsidRPr="00DA798A">
              <w:rPr>
                <w:rFonts w:ascii="Arial" w:hAnsi="Arial" w:cs="Arial"/>
                <w:sz w:val="20"/>
                <w:szCs w:val="20"/>
                <w:lang w:val="en-US"/>
              </w:rPr>
              <w:t>he responsible physician does not need to be an empl</w:t>
            </w:r>
            <w:r>
              <w:rPr>
                <w:rFonts w:ascii="Arial" w:hAnsi="Arial" w:cs="Arial"/>
                <w:sz w:val="20"/>
                <w:szCs w:val="20"/>
                <w:lang w:val="en-US"/>
              </w:rPr>
              <w:t>oyee of the applicant company</w:t>
            </w:r>
          </w:p>
          <w:p w14:paraId="0428EFEF" w14:textId="335A9F82" w:rsidR="00941BF0" w:rsidRPr="005A5C97" w:rsidRDefault="00941BF0" w:rsidP="00A268D7">
            <w:pPr>
              <w:pStyle w:val="Lijstalinea"/>
              <w:numPr>
                <w:ilvl w:val="0"/>
                <w:numId w:val="4"/>
              </w:numPr>
              <w:ind w:left="357" w:hanging="357"/>
              <w:jc w:val="both"/>
              <w:rPr>
                <w:rFonts w:ascii="Arial" w:hAnsi="Arial" w:cs="Arial"/>
                <w:sz w:val="20"/>
                <w:szCs w:val="20"/>
                <w:lang w:val="en-US"/>
              </w:rPr>
            </w:pPr>
            <w:r w:rsidRPr="005A5C97">
              <w:rPr>
                <w:rFonts w:ascii="Arial" w:hAnsi="Arial" w:cs="Arial"/>
                <w:sz w:val="20"/>
                <w:szCs w:val="20"/>
                <w:lang w:val="en-US"/>
              </w:rPr>
              <w:t xml:space="preserve">The responsible physician cannot act as treating physician in a program given that in this case this responsible physician would </w:t>
            </w:r>
            <w:r w:rsidR="003A6929" w:rsidRPr="005A5C97">
              <w:rPr>
                <w:rFonts w:ascii="Arial" w:hAnsi="Arial" w:cs="Arial"/>
                <w:sz w:val="20"/>
                <w:szCs w:val="20"/>
                <w:lang w:val="en-US"/>
              </w:rPr>
              <w:t xml:space="preserve">have </w:t>
            </w:r>
            <w:r w:rsidRPr="005A5C97">
              <w:rPr>
                <w:rFonts w:ascii="Arial" w:hAnsi="Arial" w:cs="Arial"/>
                <w:sz w:val="20"/>
                <w:szCs w:val="20"/>
                <w:lang w:val="en-US"/>
              </w:rPr>
              <w:t>to include his/her own patients to the program</w:t>
            </w:r>
          </w:p>
          <w:p w14:paraId="318946F8" w14:textId="77777777" w:rsidR="00941BF0" w:rsidRPr="003579D2" w:rsidRDefault="00941BF0" w:rsidP="00A268D7">
            <w:pPr>
              <w:jc w:val="both"/>
              <w:rPr>
                <w:rFonts w:ascii="Arial" w:hAnsi="Arial" w:cs="Arial"/>
                <w:sz w:val="20"/>
                <w:szCs w:val="20"/>
                <w:lang w:val="en-US"/>
              </w:rPr>
            </w:pPr>
          </w:p>
        </w:tc>
        <w:tc>
          <w:tcPr>
            <w:tcW w:w="4192" w:type="dxa"/>
          </w:tcPr>
          <w:p w14:paraId="7A7452D6" w14:textId="77777777" w:rsidR="00941BF0" w:rsidRDefault="00941BF0" w:rsidP="00A268D7">
            <w:pPr>
              <w:pStyle w:val="Lijstalinea"/>
              <w:ind w:left="360"/>
              <w:jc w:val="both"/>
              <w:rPr>
                <w:rFonts w:ascii="Arial" w:hAnsi="Arial" w:cs="Arial"/>
                <w:sz w:val="20"/>
                <w:szCs w:val="20"/>
                <w:lang w:val="en-US"/>
              </w:rPr>
            </w:pPr>
          </w:p>
          <w:p w14:paraId="66878834" w14:textId="77777777" w:rsidR="007E235F" w:rsidRDefault="007E235F" w:rsidP="00A268D7">
            <w:pPr>
              <w:pStyle w:val="Lijstalinea"/>
              <w:ind w:left="360"/>
              <w:jc w:val="both"/>
              <w:rPr>
                <w:rFonts w:ascii="Arial" w:hAnsi="Arial" w:cs="Arial"/>
                <w:sz w:val="20"/>
                <w:szCs w:val="20"/>
                <w:lang w:val="en-US"/>
              </w:rPr>
            </w:pPr>
          </w:p>
          <w:p w14:paraId="5B9AC52A" w14:textId="47213BC6" w:rsidR="00941BF0" w:rsidRPr="00553939" w:rsidRDefault="00941BF0" w:rsidP="00A268D7">
            <w:pPr>
              <w:pStyle w:val="Lijstalinea"/>
              <w:numPr>
                <w:ilvl w:val="0"/>
                <w:numId w:val="4"/>
              </w:numPr>
              <w:jc w:val="both"/>
              <w:rPr>
                <w:rFonts w:ascii="Arial" w:hAnsi="Arial" w:cs="Arial"/>
                <w:sz w:val="20"/>
                <w:szCs w:val="20"/>
                <w:lang w:val="en-US"/>
              </w:rPr>
            </w:pPr>
            <w:r w:rsidRPr="00553939">
              <w:rPr>
                <w:rFonts w:ascii="Arial" w:hAnsi="Arial" w:cs="Arial"/>
                <w:sz w:val="20"/>
                <w:szCs w:val="20"/>
                <w:lang w:val="en-US"/>
              </w:rPr>
              <w:t>Check th</w:t>
            </w:r>
            <w:r w:rsidR="003A6929">
              <w:rPr>
                <w:rFonts w:ascii="Arial" w:hAnsi="Arial" w:cs="Arial"/>
                <w:sz w:val="20"/>
                <w:szCs w:val="20"/>
                <w:lang w:val="en-US"/>
              </w:rPr>
              <w:t>e  inclusion/exclusion criteria</w:t>
            </w:r>
          </w:p>
          <w:p w14:paraId="5B8ACBF9" w14:textId="0B0EBCCE" w:rsidR="00941BF0" w:rsidRPr="00553939" w:rsidRDefault="00941BF0" w:rsidP="00A268D7">
            <w:pPr>
              <w:pStyle w:val="Lijstalinea"/>
              <w:numPr>
                <w:ilvl w:val="0"/>
                <w:numId w:val="4"/>
              </w:numPr>
              <w:jc w:val="both"/>
              <w:rPr>
                <w:rFonts w:ascii="Arial" w:hAnsi="Arial" w:cs="Arial"/>
                <w:sz w:val="20"/>
                <w:szCs w:val="20"/>
                <w:lang w:val="en-US"/>
              </w:rPr>
            </w:pPr>
            <w:r w:rsidRPr="00553939">
              <w:rPr>
                <w:rFonts w:ascii="Arial" w:hAnsi="Arial" w:cs="Arial"/>
                <w:sz w:val="20"/>
                <w:szCs w:val="20"/>
                <w:lang w:val="en-US"/>
              </w:rPr>
              <w:t xml:space="preserve">Check ongoing clinical </w:t>
            </w:r>
            <w:r w:rsidR="003A6929">
              <w:rPr>
                <w:rFonts w:ascii="Arial" w:hAnsi="Arial" w:cs="Arial"/>
                <w:sz w:val="20"/>
                <w:szCs w:val="20"/>
                <w:lang w:val="en-US"/>
              </w:rPr>
              <w:t>trials suitable for the patient</w:t>
            </w:r>
          </w:p>
          <w:p w14:paraId="76C008FD" w14:textId="77777777" w:rsidR="00941BF0" w:rsidRPr="00553939" w:rsidRDefault="00941BF0" w:rsidP="00A268D7">
            <w:pPr>
              <w:pStyle w:val="Lijstalinea"/>
              <w:numPr>
                <w:ilvl w:val="0"/>
                <w:numId w:val="4"/>
              </w:numPr>
              <w:jc w:val="both"/>
              <w:rPr>
                <w:rFonts w:ascii="Arial" w:hAnsi="Arial" w:cs="Arial"/>
                <w:sz w:val="20"/>
                <w:szCs w:val="20"/>
                <w:lang w:val="en-US"/>
              </w:rPr>
            </w:pPr>
            <w:r w:rsidRPr="00553939">
              <w:rPr>
                <w:rFonts w:ascii="Arial" w:hAnsi="Arial" w:cs="Arial"/>
                <w:sz w:val="20"/>
                <w:szCs w:val="20"/>
                <w:lang w:val="en-US"/>
              </w:rPr>
              <w:t>Give his authorization to enroll the patient in the program to the responsible of the program</w:t>
            </w:r>
          </w:p>
          <w:p w14:paraId="4025C394" w14:textId="77777777" w:rsidR="00941BF0" w:rsidRPr="00553939" w:rsidRDefault="00941BF0" w:rsidP="00A268D7">
            <w:pPr>
              <w:pStyle w:val="Lijstalinea"/>
              <w:numPr>
                <w:ilvl w:val="0"/>
                <w:numId w:val="4"/>
              </w:numPr>
              <w:jc w:val="both"/>
              <w:rPr>
                <w:rFonts w:ascii="Arial" w:hAnsi="Arial" w:cs="Arial"/>
                <w:sz w:val="20"/>
                <w:szCs w:val="20"/>
                <w:lang w:val="en-US"/>
              </w:rPr>
            </w:pPr>
            <w:r w:rsidRPr="00553939">
              <w:rPr>
                <w:rFonts w:ascii="Arial" w:hAnsi="Arial" w:cs="Arial"/>
                <w:sz w:val="20"/>
                <w:szCs w:val="20"/>
                <w:lang w:val="en-US"/>
              </w:rPr>
              <w:t>Codify adverse events and send these data to the responsible of the program*</w:t>
            </w:r>
          </w:p>
        </w:tc>
      </w:tr>
      <w:tr w:rsidR="00941BF0" w:rsidRPr="006322F4" w14:paraId="272A1247" w14:textId="77777777" w:rsidTr="000E3543">
        <w:trPr>
          <w:trHeight w:val="514"/>
        </w:trPr>
        <w:tc>
          <w:tcPr>
            <w:tcW w:w="4192" w:type="dxa"/>
          </w:tcPr>
          <w:p w14:paraId="62EF8FB9" w14:textId="77777777" w:rsidR="00941BF0" w:rsidRDefault="00941BF0" w:rsidP="007E235F">
            <w:pPr>
              <w:spacing w:before="120" w:after="120"/>
              <w:jc w:val="both"/>
              <w:rPr>
                <w:rFonts w:ascii="Arial" w:hAnsi="Arial" w:cs="Arial"/>
                <w:sz w:val="20"/>
                <w:szCs w:val="20"/>
                <w:lang w:val="en-US"/>
              </w:rPr>
            </w:pPr>
            <w:r w:rsidRPr="00553939">
              <w:rPr>
                <w:rFonts w:ascii="Arial" w:hAnsi="Arial" w:cs="Arial"/>
                <w:b/>
                <w:sz w:val="20"/>
                <w:szCs w:val="20"/>
                <w:lang w:val="en-US"/>
              </w:rPr>
              <w:t>Responsible of the program</w:t>
            </w:r>
          </w:p>
          <w:p w14:paraId="7AB87072" w14:textId="0DB0187A" w:rsidR="00941BF0" w:rsidRPr="003A6929" w:rsidRDefault="00941BF0" w:rsidP="003A6929">
            <w:pPr>
              <w:pStyle w:val="Lijstalinea"/>
              <w:numPr>
                <w:ilvl w:val="0"/>
                <w:numId w:val="4"/>
              </w:numPr>
              <w:spacing w:after="240"/>
              <w:jc w:val="both"/>
              <w:rPr>
                <w:rFonts w:ascii="Arial" w:hAnsi="Arial" w:cs="Arial"/>
                <w:sz w:val="20"/>
                <w:szCs w:val="20"/>
                <w:lang w:val="en-US"/>
              </w:rPr>
            </w:pPr>
            <w:r w:rsidRPr="003579D2">
              <w:rPr>
                <w:rFonts w:ascii="Arial" w:hAnsi="Arial" w:cs="Arial"/>
                <w:sz w:val="20"/>
                <w:szCs w:val="20"/>
                <w:lang w:val="en-US"/>
              </w:rPr>
              <w:t xml:space="preserve">The responsible of the program stated in art.106 §3 can be a sponsor in the comprehension of the law of 7 May 2004 regarding experiments on humans, meaning that the responsible can be a person, an enterprise, an institution or an </w:t>
            </w:r>
            <w:r w:rsidRPr="003579D2">
              <w:rPr>
                <w:rFonts w:ascii="Arial" w:hAnsi="Arial" w:cs="Arial"/>
                <w:sz w:val="20"/>
                <w:szCs w:val="20"/>
                <w:lang w:val="en-US"/>
              </w:rPr>
              <w:lastRenderedPageBreak/>
              <w:t xml:space="preserve">organism responsible for the launch, management and/or financing of an experiment with </w:t>
            </w:r>
            <w:r w:rsidR="003A6929">
              <w:rPr>
                <w:rFonts w:ascii="Arial" w:hAnsi="Arial" w:cs="Arial"/>
                <w:sz w:val="20"/>
                <w:szCs w:val="20"/>
                <w:lang w:val="en-US"/>
              </w:rPr>
              <w:t>the concerned medicinal product</w:t>
            </w:r>
          </w:p>
        </w:tc>
        <w:tc>
          <w:tcPr>
            <w:tcW w:w="4192" w:type="dxa"/>
          </w:tcPr>
          <w:p w14:paraId="5C84E95F" w14:textId="77777777" w:rsidR="00941BF0" w:rsidRDefault="00941BF0" w:rsidP="00A268D7">
            <w:pPr>
              <w:pStyle w:val="Lijstalinea"/>
              <w:ind w:left="360"/>
              <w:jc w:val="both"/>
              <w:rPr>
                <w:rFonts w:ascii="Arial" w:eastAsia="Calibri" w:hAnsi="Arial" w:cs="Arial"/>
                <w:sz w:val="20"/>
                <w:szCs w:val="20"/>
                <w:lang w:val="en-US" w:eastAsia="fr-BE"/>
              </w:rPr>
            </w:pPr>
          </w:p>
          <w:p w14:paraId="15BC0912" w14:textId="77777777" w:rsidR="007E235F" w:rsidRDefault="007E235F" w:rsidP="00A268D7">
            <w:pPr>
              <w:pStyle w:val="Lijstalinea"/>
              <w:ind w:left="360"/>
              <w:jc w:val="both"/>
              <w:rPr>
                <w:rFonts w:ascii="Arial" w:eastAsia="Calibri" w:hAnsi="Arial" w:cs="Arial"/>
                <w:sz w:val="20"/>
                <w:szCs w:val="20"/>
                <w:lang w:val="en-US" w:eastAsia="fr-BE"/>
              </w:rPr>
            </w:pPr>
          </w:p>
          <w:p w14:paraId="71F9C204" w14:textId="77777777" w:rsidR="00941BF0" w:rsidRPr="00553939" w:rsidRDefault="00941BF0" w:rsidP="00A268D7">
            <w:pPr>
              <w:pStyle w:val="Lijstalinea"/>
              <w:numPr>
                <w:ilvl w:val="1"/>
                <w:numId w:val="2"/>
              </w:numPr>
              <w:ind w:left="360"/>
              <w:jc w:val="both"/>
              <w:rPr>
                <w:rFonts w:ascii="Arial" w:eastAsia="Calibri" w:hAnsi="Arial" w:cs="Arial"/>
                <w:sz w:val="20"/>
                <w:szCs w:val="20"/>
                <w:lang w:val="en-US" w:eastAsia="fr-BE"/>
              </w:rPr>
            </w:pPr>
            <w:r w:rsidRPr="00553939">
              <w:rPr>
                <w:rFonts w:ascii="Arial" w:eastAsia="Calibri" w:hAnsi="Arial" w:cs="Arial"/>
                <w:sz w:val="20"/>
                <w:szCs w:val="20"/>
                <w:lang w:val="en-US" w:eastAsia="fr-BE"/>
              </w:rPr>
              <w:t>Implement the CUP/MNP</w:t>
            </w:r>
          </w:p>
          <w:p w14:paraId="159511DC" w14:textId="77777777" w:rsidR="00941BF0" w:rsidRPr="00553939" w:rsidRDefault="00941BF0" w:rsidP="00A268D7">
            <w:pPr>
              <w:pStyle w:val="Lijstalinea"/>
              <w:numPr>
                <w:ilvl w:val="1"/>
                <w:numId w:val="2"/>
              </w:numPr>
              <w:ind w:left="360"/>
              <w:jc w:val="both"/>
              <w:rPr>
                <w:rFonts w:ascii="Arial" w:eastAsia="Calibri" w:hAnsi="Arial" w:cs="Arial"/>
                <w:sz w:val="20"/>
                <w:szCs w:val="20"/>
                <w:lang w:val="en-US" w:eastAsia="fr-BE"/>
              </w:rPr>
            </w:pPr>
            <w:r w:rsidRPr="00553939">
              <w:rPr>
                <w:rFonts w:ascii="Arial" w:eastAsia="Calibri" w:hAnsi="Arial" w:cs="Arial"/>
                <w:sz w:val="20"/>
                <w:szCs w:val="20"/>
                <w:lang w:val="en-US" w:eastAsia="fr-BE"/>
              </w:rPr>
              <w:t>Assign the responsible physician for the program</w:t>
            </w:r>
          </w:p>
          <w:p w14:paraId="12DAE8E3" w14:textId="77777777" w:rsidR="00941BF0" w:rsidRPr="00553939" w:rsidRDefault="00941BF0" w:rsidP="00A268D7">
            <w:pPr>
              <w:pStyle w:val="Lijstalinea"/>
              <w:numPr>
                <w:ilvl w:val="1"/>
                <w:numId w:val="2"/>
              </w:numPr>
              <w:ind w:left="360"/>
              <w:jc w:val="both"/>
              <w:rPr>
                <w:rFonts w:ascii="Arial" w:eastAsia="Calibri" w:hAnsi="Arial" w:cs="Arial"/>
                <w:sz w:val="20"/>
                <w:szCs w:val="20"/>
                <w:lang w:val="en-US" w:eastAsia="fr-BE"/>
              </w:rPr>
            </w:pPr>
            <w:r>
              <w:rPr>
                <w:rFonts w:ascii="Arial" w:eastAsia="Calibri" w:hAnsi="Arial" w:cs="Arial"/>
                <w:sz w:val="20"/>
                <w:szCs w:val="20"/>
                <w:lang w:val="en-US" w:eastAsia="fr-BE"/>
              </w:rPr>
              <w:t>Manage</w:t>
            </w:r>
            <w:r w:rsidRPr="00553939">
              <w:rPr>
                <w:rFonts w:ascii="Arial" w:eastAsia="Calibri" w:hAnsi="Arial" w:cs="Arial"/>
                <w:sz w:val="20"/>
                <w:szCs w:val="20"/>
                <w:lang w:val="en-US" w:eastAsia="fr-BE"/>
              </w:rPr>
              <w:t xml:space="preserve"> a central register of patients included</w:t>
            </w:r>
          </w:p>
          <w:p w14:paraId="7324F646" w14:textId="77777777" w:rsidR="00941BF0" w:rsidRDefault="00941BF0" w:rsidP="00A268D7">
            <w:pPr>
              <w:pStyle w:val="Lijstalinea"/>
              <w:numPr>
                <w:ilvl w:val="1"/>
                <w:numId w:val="2"/>
              </w:numPr>
              <w:ind w:left="360"/>
              <w:jc w:val="both"/>
              <w:rPr>
                <w:rFonts w:ascii="Arial" w:eastAsia="Calibri" w:hAnsi="Arial" w:cs="Arial"/>
                <w:sz w:val="20"/>
                <w:szCs w:val="20"/>
                <w:lang w:val="en-US" w:eastAsia="fr-BE"/>
              </w:rPr>
            </w:pPr>
            <w:r>
              <w:rPr>
                <w:rFonts w:ascii="Arial" w:eastAsia="Calibri" w:hAnsi="Arial" w:cs="Arial"/>
                <w:sz w:val="20"/>
                <w:szCs w:val="20"/>
                <w:lang w:val="en-US" w:eastAsia="fr-BE"/>
              </w:rPr>
              <w:lastRenderedPageBreak/>
              <w:t>Manage</w:t>
            </w:r>
            <w:r w:rsidRPr="00553939">
              <w:rPr>
                <w:rFonts w:ascii="Arial" w:eastAsia="Calibri" w:hAnsi="Arial" w:cs="Arial"/>
                <w:sz w:val="20"/>
                <w:szCs w:val="20"/>
                <w:lang w:val="en-US" w:eastAsia="fr-BE"/>
              </w:rPr>
              <w:t xml:space="preserve"> the record of coded s</w:t>
            </w:r>
            <w:r>
              <w:rPr>
                <w:rFonts w:ascii="Arial" w:eastAsia="Calibri" w:hAnsi="Arial" w:cs="Arial"/>
                <w:sz w:val="20"/>
                <w:szCs w:val="20"/>
                <w:lang w:val="en-US" w:eastAsia="fr-BE"/>
              </w:rPr>
              <w:t>uspected serious adverse events</w:t>
            </w:r>
          </w:p>
          <w:p w14:paraId="6C08C2E7" w14:textId="77777777" w:rsidR="00941BF0" w:rsidRPr="00553939" w:rsidRDefault="00941BF0" w:rsidP="00A268D7">
            <w:pPr>
              <w:pStyle w:val="Lijstalinea"/>
              <w:numPr>
                <w:ilvl w:val="1"/>
                <w:numId w:val="2"/>
              </w:numPr>
              <w:ind w:left="360"/>
              <w:jc w:val="both"/>
              <w:rPr>
                <w:rFonts w:ascii="Arial" w:eastAsia="Calibri" w:hAnsi="Arial" w:cs="Arial"/>
                <w:sz w:val="20"/>
                <w:szCs w:val="20"/>
                <w:lang w:val="en-US" w:eastAsia="fr-BE"/>
              </w:rPr>
            </w:pPr>
            <w:r w:rsidRPr="00553939">
              <w:rPr>
                <w:rFonts w:ascii="Arial" w:eastAsia="Calibri" w:hAnsi="Arial" w:cs="Arial"/>
                <w:sz w:val="20"/>
                <w:szCs w:val="20"/>
                <w:lang w:val="en-US" w:eastAsia="fr-BE"/>
              </w:rPr>
              <w:t xml:space="preserve">Report the </w:t>
            </w:r>
            <w:r>
              <w:rPr>
                <w:rFonts w:ascii="Arial" w:eastAsia="Calibri" w:hAnsi="Arial" w:cs="Arial"/>
                <w:sz w:val="20"/>
                <w:szCs w:val="20"/>
                <w:lang w:val="en-US" w:eastAsia="fr-BE"/>
              </w:rPr>
              <w:t>SUSARs to the FAHMP</w:t>
            </w:r>
          </w:p>
        </w:tc>
      </w:tr>
    </w:tbl>
    <w:p w14:paraId="140BF919" w14:textId="77777777" w:rsidR="00941BF0" w:rsidRPr="00DA798A" w:rsidRDefault="00941BF0" w:rsidP="00941BF0">
      <w:pPr>
        <w:spacing w:before="120" w:after="240"/>
        <w:ind w:left="709"/>
        <w:jc w:val="both"/>
        <w:rPr>
          <w:rFonts w:ascii="Arial" w:hAnsi="Arial" w:cs="Arial"/>
          <w:sz w:val="20"/>
          <w:szCs w:val="20"/>
          <w:lang w:val="en-US"/>
        </w:rPr>
      </w:pPr>
      <w:r w:rsidRPr="00DA798A">
        <w:rPr>
          <w:rFonts w:ascii="Arial" w:hAnsi="Arial" w:cs="Arial"/>
          <w:sz w:val="20"/>
          <w:szCs w:val="20"/>
          <w:lang w:val="en-US"/>
        </w:rPr>
        <w:lastRenderedPageBreak/>
        <w:t>*A waiver can be requested to keep the key for the codification on the treating physician’s side</w:t>
      </w:r>
      <w:r>
        <w:rPr>
          <w:rFonts w:ascii="Arial" w:hAnsi="Arial" w:cs="Arial"/>
          <w:sz w:val="20"/>
          <w:szCs w:val="20"/>
          <w:lang w:val="en-US"/>
        </w:rPr>
        <w:t>.</w:t>
      </w:r>
    </w:p>
    <w:p w14:paraId="315CE5F6" w14:textId="1DC17153" w:rsidR="00941BF0" w:rsidRPr="00941BF0" w:rsidRDefault="00941BF0" w:rsidP="00941BF0">
      <w:pPr>
        <w:pStyle w:val="Lijstalinea"/>
        <w:numPr>
          <w:ilvl w:val="0"/>
          <w:numId w:val="1"/>
        </w:numPr>
        <w:spacing w:after="120"/>
        <w:ind w:left="714" w:hanging="357"/>
        <w:rPr>
          <w:rFonts w:ascii="Arial" w:hAnsi="Arial" w:cs="Arial"/>
          <w:b/>
          <w:sz w:val="20"/>
          <w:szCs w:val="20"/>
          <w:lang w:val="en-GB"/>
        </w:rPr>
      </w:pPr>
      <w:bookmarkStart w:id="23" w:name="_Ref1476317"/>
      <w:r w:rsidRPr="00941BF0">
        <w:rPr>
          <w:rFonts w:ascii="Arial" w:hAnsi="Arial" w:cs="Arial"/>
          <w:b/>
          <w:sz w:val="20"/>
          <w:szCs w:val="20"/>
          <w:lang w:val="en-GB"/>
        </w:rPr>
        <w:t xml:space="preserve">Do we have to include every patient that </w:t>
      </w:r>
      <w:r w:rsidR="000E3543" w:rsidRPr="00941BF0">
        <w:rPr>
          <w:rFonts w:ascii="Arial" w:hAnsi="Arial" w:cs="Arial"/>
          <w:b/>
          <w:sz w:val="20"/>
          <w:szCs w:val="20"/>
          <w:lang w:val="en-GB"/>
        </w:rPr>
        <w:t>fulfils</w:t>
      </w:r>
      <w:r w:rsidRPr="00941BF0">
        <w:rPr>
          <w:rFonts w:ascii="Arial" w:hAnsi="Arial" w:cs="Arial"/>
          <w:b/>
          <w:sz w:val="20"/>
          <w:szCs w:val="20"/>
          <w:lang w:val="en-GB"/>
        </w:rPr>
        <w:t xml:space="preserve"> the inclusion/exclusion criteria?</w:t>
      </w:r>
      <w:bookmarkEnd w:id="21"/>
      <w:bookmarkEnd w:id="23"/>
    </w:p>
    <w:p w14:paraId="53EED327" w14:textId="77777777" w:rsidR="00941BF0" w:rsidRDefault="00941BF0" w:rsidP="00941BF0">
      <w:pPr>
        <w:spacing w:before="120" w:after="240"/>
        <w:ind w:left="720"/>
        <w:jc w:val="both"/>
        <w:rPr>
          <w:rFonts w:ascii="Arial" w:hAnsi="Arial" w:cs="Arial"/>
          <w:sz w:val="20"/>
          <w:szCs w:val="20"/>
          <w:lang w:val="en-US"/>
        </w:rPr>
      </w:pPr>
      <w:r w:rsidRPr="003579D2">
        <w:rPr>
          <w:rFonts w:ascii="Arial" w:hAnsi="Arial" w:cs="Arial"/>
          <w:sz w:val="20"/>
          <w:szCs w:val="20"/>
          <w:lang w:val="en-US"/>
        </w:rPr>
        <w:t xml:space="preserve">Once the CUP/MNP has been set up, all patients that fulfill the inclusion/exclusion criteria should have access to the CUP/MNP unless objective and motivated limitations are stipulated in the program. </w:t>
      </w:r>
    </w:p>
    <w:p w14:paraId="6AB6E55F" w14:textId="77777777" w:rsidR="00D274BC" w:rsidRPr="00D274BC" w:rsidRDefault="00D274BC" w:rsidP="000F594A">
      <w:pPr>
        <w:pStyle w:val="Lijstalinea"/>
        <w:numPr>
          <w:ilvl w:val="0"/>
          <w:numId w:val="1"/>
        </w:numPr>
        <w:spacing w:after="120"/>
        <w:ind w:left="714" w:hanging="357"/>
        <w:rPr>
          <w:rFonts w:ascii="Arial" w:hAnsi="Arial" w:cs="Arial"/>
          <w:b/>
          <w:sz w:val="20"/>
          <w:szCs w:val="20"/>
          <w:lang w:val="en-US"/>
        </w:rPr>
      </w:pPr>
      <w:r w:rsidRPr="00D274BC">
        <w:rPr>
          <w:rFonts w:ascii="Arial" w:hAnsi="Arial" w:cs="Arial"/>
          <w:b/>
          <w:sz w:val="20"/>
          <w:szCs w:val="20"/>
          <w:lang w:val="en-US"/>
        </w:rPr>
        <w:t>Do we need to submit the central registry to the FAMHP?</w:t>
      </w:r>
    </w:p>
    <w:p w14:paraId="058A6DCB" w14:textId="77777777" w:rsidR="00D274BC" w:rsidRDefault="00D274BC" w:rsidP="00D274BC">
      <w:pPr>
        <w:spacing w:after="240"/>
        <w:ind w:left="709"/>
        <w:jc w:val="both"/>
        <w:rPr>
          <w:rFonts w:ascii="Arial" w:hAnsi="Arial" w:cs="Arial"/>
          <w:sz w:val="20"/>
          <w:szCs w:val="20"/>
          <w:lang w:val="en-US"/>
        </w:rPr>
      </w:pPr>
      <w:r w:rsidRPr="00D274BC">
        <w:rPr>
          <w:rFonts w:ascii="Arial" w:hAnsi="Arial" w:cs="Arial"/>
          <w:sz w:val="20"/>
          <w:szCs w:val="20"/>
          <w:lang w:val="en-US"/>
        </w:rPr>
        <w:t>It does not need to be submitted but should be available in view of control by FAMHP, so it is necessary that it is accessible in Belgium. In view of a control by the FAMHP, traceability and pharmacovigilance.</w:t>
      </w:r>
    </w:p>
    <w:p w14:paraId="05B439B3" w14:textId="77777777" w:rsidR="001A2067" w:rsidRPr="00BB6B70" w:rsidRDefault="001A2067" w:rsidP="00BB6B70">
      <w:pPr>
        <w:pStyle w:val="Lijstalinea"/>
        <w:numPr>
          <w:ilvl w:val="0"/>
          <w:numId w:val="1"/>
        </w:numPr>
        <w:spacing w:after="120"/>
        <w:ind w:left="714" w:hanging="357"/>
        <w:rPr>
          <w:rFonts w:ascii="Arial" w:hAnsi="Arial" w:cs="Arial"/>
          <w:b/>
          <w:sz w:val="20"/>
          <w:szCs w:val="20"/>
          <w:lang w:val="en-GB"/>
        </w:rPr>
      </w:pPr>
      <w:r w:rsidRPr="00BB6B70">
        <w:rPr>
          <w:rFonts w:ascii="Arial" w:hAnsi="Arial" w:cs="Arial"/>
          <w:b/>
          <w:sz w:val="20"/>
          <w:szCs w:val="20"/>
          <w:lang w:val="en-GB"/>
        </w:rPr>
        <w:t>What is published on the FAMHP website?</w:t>
      </w:r>
      <w:bookmarkEnd w:id="22"/>
    </w:p>
    <w:p w14:paraId="6E1648EA" w14:textId="293E873E" w:rsidR="001A2067" w:rsidRDefault="001A2067" w:rsidP="001A2067">
      <w:pPr>
        <w:spacing w:before="120" w:after="240"/>
        <w:ind w:left="720"/>
        <w:jc w:val="both"/>
        <w:rPr>
          <w:rFonts w:ascii="Arial" w:hAnsi="Arial" w:cs="Arial"/>
          <w:sz w:val="20"/>
          <w:szCs w:val="20"/>
          <w:lang w:val="en-US"/>
        </w:rPr>
      </w:pPr>
      <w:r>
        <w:rPr>
          <w:rFonts w:ascii="Arial" w:hAnsi="Arial" w:cs="Arial"/>
          <w:sz w:val="20"/>
          <w:szCs w:val="20"/>
          <w:lang w:val="en-US"/>
        </w:rPr>
        <w:t xml:space="preserve">All programs that have been </w:t>
      </w:r>
      <w:r w:rsidR="00E87110">
        <w:rPr>
          <w:rFonts w:ascii="Arial" w:hAnsi="Arial" w:cs="Arial"/>
          <w:sz w:val="20"/>
          <w:szCs w:val="20"/>
          <w:lang w:val="en-US"/>
        </w:rPr>
        <w:t>submitted after</w:t>
      </w:r>
      <w:r>
        <w:rPr>
          <w:rFonts w:ascii="Arial" w:hAnsi="Arial" w:cs="Arial"/>
          <w:sz w:val="20"/>
          <w:szCs w:val="20"/>
          <w:lang w:val="en-US"/>
        </w:rPr>
        <w:t xml:space="preserve"> 01/06/2014 </w:t>
      </w:r>
      <w:r w:rsidR="00DB219E">
        <w:rPr>
          <w:rFonts w:ascii="Arial" w:hAnsi="Arial" w:cs="Arial"/>
          <w:sz w:val="20"/>
          <w:szCs w:val="20"/>
          <w:lang w:val="en-US"/>
        </w:rPr>
        <w:t xml:space="preserve">and have been approved </w:t>
      </w:r>
      <w:r>
        <w:rPr>
          <w:rFonts w:ascii="Arial" w:hAnsi="Arial" w:cs="Arial"/>
          <w:sz w:val="20"/>
          <w:szCs w:val="20"/>
          <w:lang w:val="en-US"/>
        </w:rPr>
        <w:t xml:space="preserve">are published on </w:t>
      </w:r>
      <w:r w:rsidRPr="000E3543">
        <w:rPr>
          <w:rFonts w:ascii="Arial" w:hAnsi="Arial" w:cs="Arial"/>
          <w:sz w:val="20"/>
          <w:szCs w:val="20"/>
          <w:lang w:val="en-US"/>
        </w:rPr>
        <w:t xml:space="preserve">the </w:t>
      </w:r>
      <w:hyperlink r:id="rId12" w:history="1">
        <w:r w:rsidRPr="000E3543">
          <w:rPr>
            <w:rStyle w:val="Hyperlink"/>
            <w:rFonts w:ascii="Arial" w:hAnsi="Arial" w:cs="Arial"/>
            <w:sz w:val="20"/>
            <w:szCs w:val="20"/>
            <w:lang w:val="en-US"/>
          </w:rPr>
          <w:t>website</w:t>
        </w:r>
      </w:hyperlink>
      <w:r w:rsidRPr="000E3543">
        <w:rPr>
          <w:rFonts w:ascii="Arial" w:hAnsi="Arial" w:cs="Arial"/>
          <w:sz w:val="20"/>
          <w:szCs w:val="20"/>
          <w:lang w:val="en-US"/>
        </w:rPr>
        <w:t xml:space="preserve"> in the </w:t>
      </w:r>
      <w:r w:rsidR="003B4852" w:rsidRPr="000E3543">
        <w:rPr>
          <w:rFonts w:ascii="Arial" w:hAnsi="Arial" w:cs="Arial"/>
          <w:sz w:val="20"/>
          <w:szCs w:val="20"/>
          <w:lang w:val="en-US"/>
        </w:rPr>
        <w:t>appropriate section:</w:t>
      </w:r>
      <w:r w:rsidRPr="000E3543">
        <w:rPr>
          <w:rFonts w:ascii="Arial" w:hAnsi="Arial" w:cs="Arial"/>
          <w:sz w:val="20"/>
          <w:szCs w:val="20"/>
          <w:lang w:val="en-US"/>
        </w:rPr>
        <w:t xml:space="preserve"> ‘</w:t>
      </w:r>
      <w:r w:rsidR="003B4852" w:rsidRPr="000E3543">
        <w:rPr>
          <w:rFonts w:ascii="Arial" w:hAnsi="Arial" w:cs="Arial"/>
          <w:sz w:val="20"/>
          <w:szCs w:val="20"/>
          <w:lang w:val="en-US"/>
        </w:rPr>
        <w:t>authorized programs</w:t>
      </w:r>
      <w:r w:rsidRPr="000E3543">
        <w:rPr>
          <w:rFonts w:ascii="Arial" w:hAnsi="Arial" w:cs="Arial"/>
          <w:sz w:val="20"/>
          <w:szCs w:val="20"/>
          <w:lang w:val="en-US"/>
        </w:rPr>
        <w:t xml:space="preserve">’, </w:t>
      </w:r>
      <w:r w:rsidR="00D4363F">
        <w:rPr>
          <w:rFonts w:ascii="Arial" w:hAnsi="Arial" w:cs="Arial"/>
          <w:sz w:val="20"/>
          <w:szCs w:val="20"/>
          <w:lang w:val="en-US"/>
        </w:rPr>
        <w:t>‘</w:t>
      </w:r>
      <w:r w:rsidRPr="000E3543">
        <w:rPr>
          <w:rFonts w:ascii="Arial" w:hAnsi="Arial" w:cs="Arial"/>
          <w:sz w:val="20"/>
          <w:szCs w:val="20"/>
          <w:lang w:val="en-US"/>
        </w:rPr>
        <w:t>closed</w:t>
      </w:r>
      <w:r w:rsidR="003B4852" w:rsidRPr="000E3543">
        <w:rPr>
          <w:rFonts w:ascii="Arial" w:hAnsi="Arial" w:cs="Arial"/>
          <w:sz w:val="20"/>
          <w:szCs w:val="20"/>
          <w:lang w:val="en-US"/>
        </w:rPr>
        <w:t xml:space="preserve"> programs</w:t>
      </w:r>
      <w:r w:rsidRPr="000E3543">
        <w:rPr>
          <w:rFonts w:ascii="Arial" w:hAnsi="Arial" w:cs="Arial"/>
          <w:sz w:val="20"/>
          <w:szCs w:val="20"/>
          <w:lang w:val="en-US"/>
        </w:rPr>
        <w:t>’ or ‘on hold</w:t>
      </w:r>
      <w:r w:rsidR="003B4852" w:rsidRPr="000E3543">
        <w:rPr>
          <w:rFonts w:ascii="Arial" w:hAnsi="Arial" w:cs="Arial"/>
          <w:sz w:val="20"/>
          <w:szCs w:val="20"/>
          <w:lang w:val="en-US"/>
        </w:rPr>
        <w:t xml:space="preserve"> programs</w:t>
      </w:r>
      <w:r w:rsidRPr="000E3543">
        <w:rPr>
          <w:rFonts w:ascii="Arial" w:hAnsi="Arial" w:cs="Arial"/>
          <w:sz w:val="20"/>
          <w:szCs w:val="20"/>
          <w:lang w:val="en-US"/>
        </w:rPr>
        <w:t>’. For</w:t>
      </w:r>
      <w:r>
        <w:rPr>
          <w:rFonts w:ascii="Arial" w:hAnsi="Arial" w:cs="Arial"/>
          <w:sz w:val="20"/>
          <w:szCs w:val="20"/>
          <w:lang w:val="en-US"/>
        </w:rPr>
        <w:t xml:space="preserve"> each of these programs, t</w:t>
      </w:r>
      <w:r w:rsidRPr="003579D2">
        <w:rPr>
          <w:rFonts w:ascii="Arial" w:hAnsi="Arial" w:cs="Arial"/>
          <w:sz w:val="20"/>
          <w:szCs w:val="20"/>
          <w:lang w:val="en-US"/>
        </w:rPr>
        <w:t xml:space="preserve">he ‘Summarized information for publication’ and the ‘Informed Consent Form’ that have been approved </w:t>
      </w:r>
      <w:r>
        <w:rPr>
          <w:rFonts w:ascii="Arial" w:hAnsi="Arial" w:cs="Arial"/>
          <w:sz w:val="20"/>
          <w:szCs w:val="20"/>
          <w:lang w:val="en-US"/>
        </w:rPr>
        <w:t>are</w:t>
      </w:r>
      <w:r w:rsidRPr="003579D2">
        <w:rPr>
          <w:rFonts w:ascii="Arial" w:hAnsi="Arial" w:cs="Arial"/>
          <w:sz w:val="20"/>
          <w:szCs w:val="20"/>
          <w:lang w:val="en-US"/>
        </w:rPr>
        <w:t xml:space="preserve"> published annexed to the official approval of the </w:t>
      </w:r>
      <w:r>
        <w:rPr>
          <w:rFonts w:ascii="Arial" w:hAnsi="Arial" w:cs="Arial"/>
          <w:sz w:val="20"/>
          <w:szCs w:val="20"/>
          <w:lang w:val="en-US"/>
        </w:rPr>
        <w:t>FAMHP.</w:t>
      </w:r>
    </w:p>
    <w:p w14:paraId="487FDADC" w14:textId="1F4BF6C8" w:rsidR="001A2067" w:rsidRPr="00CF6D93" w:rsidRDefault="001A2067" w:rsidP="001A2067">
      <w:pPr>
        <w:pStyle w:val="Lijstalinea"/>
        <w:numPr>
          <w:ilvl w:val="0"/>
          <w:numId w:val="1"/>
        </w:numPr>
        <w:spacing w:after="120"/>
        <w:ind w:left="714" w:hanging="357"/>
        <w:jc w:val="both"/>
        <w:rPr>
          <w:rFonts w:ascii="Arial" w:hAnsi="Arial" w:cs="Arial"/>
          <w:b/>
          <w:sz w:val="20"/>
          <w:szCs w:val="20"/>
          <w:lang w:val="en-US"/>
        </w:rPr>
      </w:pPr>
      <w:bookmarkStart w:id="24" w:name="_Ref1466342"/>
      <w:r w:rsidRPr="00CF6D93">
        <w:rPr>
          <w:rFonts w:ascii="Arial" w:hAnsi="Arial" w:cs="Arial"/>
          <w:b/>
          <w:sz w:val="20"/>
          <w:szCs w:val="20"/>
          <w:lang w:val="en-US"/>
        </w:rPr>
        <w:t xml:space="preserve">How should we notify when the </w:t>
      </w:r>
      <w:r w:rsidRPr="00DC36C2">
        <w:rPr>
          <w:rFonts w:ascii="Arial" w:hAnsi="Arial" w:cs="Arial"/>
          <w:b/>
          <w:sz w:val="20"/>
          <w:szCs w:val="20"/>
          <w:lang w:val="en-US"/>
        </w:rPr>
        <w:t xml:space="preserve">program </w:t>
      </w:r>
      <w:r w:rsidR="00275EAB" w:rsidRPr="00DC36C2">
        <w:rPr>
          <w:rFonts w:ascii="Arial" w:hAnsi="Arial" w:cs="Arial"/>
          <w:b/>
          <w:sz w:val="20"/>
          <w:szCs w:val="20"/>
          <w:lang w:val="en-US"/>
        </w:rPr>
        <w:t>will end</w:t>
      </w:r>
      <w:r w:rsidRPr="00DC36C2">
        <w:rPr>
          <w:rFonts w:ascii="Arial" w:hAnsi="Arial" w:cs="Arial"/>
          <w:b/>
          <w:sz w:val="20"/>
          <w:szCs w:val="20"/>
          <w:lang w:val="en-US"/>
        </w:rPr>
        <w:t>?</w:t>
      </w:r>
      <w:bookmarkEnd w:id="24"/>
    </w:p>
    <w:p w14:paraId="6BFC0A34" w14:textId="441C50E6" w:rsidR="001A2067" w:rsidRPr="00D2330D" w:rsidRDefault="001A2067" w:rsidP="00986492">
      <w:pPr>
        <w:spacing w:after="240"/>
        <w:ind w:left="720"/>
        <w:jc w:val="both"/>
        <w:rPr>
          <w:rStyle w:val="Hyperlink"/>
          <w:rFonts w:ascii="Arial" w:hAnsi="Arial" w:cs="Arial"/>
          <w:sz w:val="20"/>
          <w:szCs w:val="20"/>
          <w:lang w:val="en-US"/>
        </w:rPr>
      </w:pPr>
      <w:r w:rsidRPr="00A62475">
        <w:rPr>
          <w:rFonts w:ascii="Arial" w:hAnsi="Arial" w:cs="Arial"/>
          <w:sz w:val="20"/>
          <w:szCs w:val="20"/>
          <w:lang w:val="en-GB"/>
        </w:rPr>
        <w:t xml:space="preserve">If the program ends, a notification e-mail should be send to </w:t>
      </w:r>
      <w:hyperlink r:id="rId13" w:history="1">
        <w:r w:rsidRPr="00D2330D">
          <w:rPr>
            <w:rStyle w:val="Hyperlink"/>
            <w:rFonts w:ascii="Arial" w:hAnsi="Arial" w:cs="Arial"/>
            <w:sz w:val="20"/>
            <w:szCs w:val="20"/>
            <w:lang w:val="en-US"/>
          </w:rPr>
          <w:t>umn@afmps-fagg.be</w:t>
        </w:r>
      </w:hyperlink>
      <w:r w:rsidRPr="00A62475">
        <w:rPr>
          <w:rFonts w:ascii="Arial" w:hAnsi="Arial" w:cs="Arial"/>
          <w:sz w:val="20"/>
          <w:szCs w:val="20"/>
          <w:lang w:val="en-GB"/>
        </w:rPr>
        <w:t>.</w:t>
      </w:r>
      <w:r w:rsidR="005A5C97">
        <w:rPr>
          <w:rFonts w:ascii="Arial" w:hAnsi="Arial" w:cs="Arial"/>
          <w:sz w:val="20"/>
          <w:szCs w:val="20"/>
          <w:lang w:val="en-GB"/>
        </w:rPr>
        <w:t xml:space="preserve"> </w:t>
      </w:r>
      <w:r w:rsidR="005A5C97" w:rsidRPr="00381E79">
        <w:rPr>
          <w:rFonts w:ascii="Arial" w:hAnsi="Arial" w:cs="Arial"/>
          <w:color w:val="000000" w:themeColor="text1"/>
          <w:sz w:val="20"/>
          <w:szCs w:val="20"/>
          <w:lang w:val="en-GB"/>
        </w:rPr>
        <w:t xml:space="preserve">Please indicate in this e-mail the motivation for ending the program, the number of patients that have been included in the program, the number of patients that are still </w:t>
      </w:r>
      <w:r w:rsidR="006F2212" w:rsidRPr="00381E79">
        <w:rPr>
          <w:rFonts w:ascii="Arial" w:hAnsi="Arial" w:cs="Arial"/>
          <w:color w:val="000000" w:themeColor="text1"/>
          <w:sz w:val="20"/>
          <w:szCs w:val="20"/>
          <w:lang w:val="en-GB"/>
        </w:rPr>
        <w:t xml:space="preserve">treated </w:t>
      </w:r>
      <w:r w:rsidR="005A5C97" w:rsidRPr="00381E79">
        <w:rPr>
          <w:rFonts w:ascii="Arial" w:hAnsi="Arial" w:cs="Arial"/>
          <w:color w:val="000000" w:themeColor="text1"/>
          <w:sz w:val="20"/>
          <w:szCs w:val="20"/>
          <w:lang w:val="en-GB"/>
        </w:rPr>
        <w:t>and will be further provided with the medicinal product after the end of the program.</w:t>
      </w:r>
      <w:r w:rsidRPr="00381E79">
        <w:rPr>
          <w:rFonts w:ascii="Arial" w:hAnsi="Arial" w:cs="Arial"/>
          <w:color w:val="000000" w:themeColor="text1"/>
          <w:sz w:val="20"/>
          <w:szCs w:val="20"/>
          <w:lang w:val="en-GB"/>
        </w:rPr>
        <w:t xml:space="preserve"> </w:t>
      </w:r>
      <w:r w:rsidRPr="00A62475">
        <w:rPr>
          <w:rFonts w:ascii="Arial" w:hAnsi="Arial" w:cs="Arial"/>
          <w:sz w:val="20"/>
          <w:szCs w:val="20"/>
          <w:lang w:val="en-GB"/>
        </w:rPr>
        <w:t>Once the program is ended, pharmacovigilance data should no longer be sent in the frame of t</w:t>
      </w:r>
      <w:r w:rsidR="003B4852">
        <w:rPr>
          <w:rFonts w:ascii="Arial" w:hAnsi="Arial" w:cs="Arial"/>
          <w:sz w:val="20"/>
          <w:szCs w:val="20"/>
          <w:lang w:val="en-GB"/>
        </w:rPr>
        <w:t>he re-evaluation of the program however the applicant stays responsible for the implementation of the program for the patients</w:t>
      </w:r>
      <w:r w:rsidR="00DC36C2">
        <w:rPr>
          <w:rFonts w:ascii="Arial" w:hAnsi="Arial" w:cs="Arial"/>
          <w:sz w:val="20"/>
          <w:szCs w:val="20"/>
          <w:lang w:val="en-GB"/>
        </w:rPr>
        <w:t xml:space="preserve"> </w:t>
      </w:r>
      <w:r w:rsidR="003B4852">
        <w:rPr>
          <w:rFonts w:ascii="Arial" w:hAnsi="Arial" w:cs="Arial"/>
          <w:sz w:val="20"/>
          <w:szCs w:val="20"/>
          <w:lang w:val="en-GB"/>
        </w:rPr>
        <w:t>included before the date of termination of the program unless the medicinal product</w:t>
      </w:r>
      <w:r w:rsidR="00DC36C2">
        <w:rPr>
          <w:rFonts w:ascii="Arial" w:hAnsi="Arial" w:cs="Arial"/>
          <w:sz w:val="20"/>
          <w:szCs w:val="20"/>
          <w:lang w:val="en-GB"/>
        </w:rPr>
        <w:t xml:space="preserve"> is available on the market. </w:t>
      </w:r>
      <w:r w:rsidRPr="00D2330D">
        <w:rPr>
          <w:rStyle w:val="Hyperlink"/>
          <w:rFonts w:ascii="Arial" w:hAnsi="Arial" w:cs="Arial"/>
          <w:sz w:val="20"/>
          <w:szCs w:val="20"/>
          <w:lang w:val="en-US"/>
        </w:rPr>
        <w:t xml:space="preserve"> </w:t>
      </w:r>
    </w:p>
    <w:p w14:paraId="3F205664" w14:textId="77777777" w:rsidR="001A2067" w:rsidRPr="003579D2" w:rsidRDefault="001A2067" w:rsidP="001A2067">
      <w:pPr>
        <w:pStyle w:val="Lijstalinea"/>
        <w:numPr>
          <w:ilvl w:val="0"/>
          <w:numId w:val="1"/>
        </w:numPr>
        <w:spacing w:before="120" w:after="120"/>
        <w:ind w:left="714" w:hanging="357"/>
        <w:jc w:val="both"/>
        <w:rPr>
          <w:rFonts w:ascii="Arial" w:hAnsi="Arial" w:cs="Arial"/>
          <w:b/>
          <w:sz w:val="20"/>
          <w:szCs w:val="20"/>
          <w:lang w:val="en-US"/>
        </w:rPr>
      </w:pPr>
      <w:bookmarkStart w:id="25" w:name="_Ref1466344"/>
      <w:r w:rsidRPr="003579D2">
        <w:rPr>
          <w:rFonts w:ascii="Arial" w:hAnsi="Arial" w:cs="Arial"/>
          <w:b/>
          <w:sz w:val="20"/>
          <w:szCs w:val="20"/>
          <w:lang w:val="en-US"/>
        </w:rPr>
        <w:t>Does a CUP has to switch to a MNP when Marketing Authorization is received?</w:t>
      </w:r>
      <w:bookmarkEnd w:id="25"/>
      <w:r w:rsidRPr="003579D2">
        <w:rPr>
          <w:rFonts w:ascii="Arial" w:hAnsi="Arial" w:cs="Arial"/>
          <w:b/>
          <w:sz w:val="20"/>
          <w:szCs w:val="20"/>
          <w:lang w:val="en-US"/>
        </w:rPr>
        <w:t xml:space="preserve"> </w:t>
      </w:r>
    </w:p>
    <w:p w14:paraId="0A7F2FA2" w14:textId="255CBCF3" w:rsidR="001A2067" w:rsidRPr="003579D2" w:rsidRDefault="001A2067" w:rsidP="000E3543">
      <w:pPr>
        <w:spacing w:before="120" w:after="120"/>
        <w:ind w:left="714"/>
        <w:jc w:val="both"/>
        <w:rPr>
          <w:rFonts w:ascii="Arial" w:hAnsi="Arial" w:cs="Arial"/>
          <w:sz w:val="20"/>
          <w:szCs w:val="20"/>
          <w:lang w:val="en-US"/>
        </w:rPr>
      </w:pPr>
      <w:r w:rsidRPr="003579D2">
        <w:rPr>
          <w:rFonts w:ascii="Arial" w:hAnsi="Arial" w:cs="Arial"/>
          <w:sz w:val="20"/>
          <w:szCs w:val="20"/>
          <w:lang w:val="en-US"/>
        </w:rPr>
        <w:t xml:space="preserve">A CUP approved </w:t>
      </w:r>
      <w:r w:rsidRPr="00381E79">
        <w:rPr>
          <w:rFonts w:ascii="Arial" w:hAnsi="Arial" w:cs="Arial"/>
          <w:color w:val="000000" w:themeColor="text1"/>
          <w:sz w:val="20"/>
          <w:szCs w:val="20"/>
          <w:lang w:val="en-US"/>
        </w:rPr>
        <w:t xml:space="preserve">according to the legislation </w:t>
      </w:r>
      <w:r w:rsidR="00E87110">
        <w:rPr>
          <w:rFonts w:ascii="Arial" w:hAnsi="Arial" w:cs="Arial"/>
          <w:color w:val="000000" w:themeColor="text1"/>
          <w:sz w:val="20"/>
          <w:szCs w:val="20"/>
          <w:lang w:val="en-US"/>
        </w:rPr>
        <w:t>of 25 April 20</w:t>
      </w:r>
      <w:r w:rsidR="003A47B3">
        <w:rPr>
          <w:rFonts w:ascii="Arial" w:hAnsi="Arial" w:cs="Arial"/>
          <w:color w:val="000000" w:themeColor="text1"/>
          <w:sz w:val="20"/>
          <w:szCs w:val="20"/>
          <w:lang w:val="en-US"/>
        </w:rPr>
        <w:t>1</w:t>
      </w:r>
      <w:r w:rsidR="00E87110">
        <w:rPr>
          <w:rFonts w:ascii="Arial" w:hAnsi="Arial" w:cs="Arial"/>
          <w:color w:val="000000" w:themeColor="text1"/>
          <w:sz w:val="20"/>
          <w:szCs w:val="20"/>
          <w:lang w:val="en-US"/>
        </w:rPr>
        <w:t>4</w:t>
      </w:r>
      <w:r w:rsidRPr="003579D2">
        <w:rPr>
          <w:rFonts w:ascii="Arial" w:hAnsi="Arial" w:cs="Arial"/>
          <w:sz w:val="20"/>
          <w:szCs w:val="20"/>
          <w:lang w:val="en-US"/>
        </w:rPr>
        <w:t xml:space="preserve"> can continue to run at the moment a Marketing Authorization is obtained. The CUP can run until the product comes effectively on the market. If a Marketing Authorization is granted after the application for a CUP but before the CUP is authorized, it will be categorized as a CUP.</w:t>
      </w:r>
    </w:p>
    <w:p w14:paraId="2BC56393" w14:textId="77777777" w:rsidR="001A2067" w:rsidRPr="00360D3C" w:rsidRDefault="001A2067" w:rsidP="00587079">
      <w:pPr>
        <w:pStyle w:val="Kop1"/>
        <w:numPr>
          <w:ilvl w:val="0"/>
          <w:numId w:val="2"/>
        </w:numPr>
        <w:spacing w:before="360" w:after="240"/>
        <w:ind w:left="567" w:hanging="425"/>
        <w:jc w:val="both"/>
        <w:rPr>
          <w:rStyle w:val="Zwaar"/>
          <w:rFonts w:ascii="Arial" w:hAnsi="Arial" w:cs="Arial"/>
          <w:b/>
          <w:color w:val="auto"/>
          <w:sz w:val="24"/>
          <w:szCs w:val="24"/>
          <w:u w:val="single"/>
          <w:lang w:val="en-US"/>
        </w:rPr>
      </w:pPr>
      <w:bookmarkStart w:id="26" w:name="_Ref1466345"/>
      <w:r w:rsidRPr="00360D3C">
        <w:rPr>
          <w:rStyle w:val="Zwaar"/>
          <w:rFonts w:ascii="Arial" w:hAnsi="Arial" w:cs="Arial"/>
          <w:b/>
          <w:color w:val="auto"/>
          <w:sz w:val="24"/>
          <w:szCs w:val="24"/>
          <w:u w:val="single"/>
          <w:lang w:val="en-US"/>
        </w:rPr>
        <w:t>Pharmacovigilance</w:t>
      </w:r>
      <w:bookmarkEnd w:id="26"/>
    </w:p>
    <w:p w14:paraId="4E89C0CA" w14:textId="2A58E5B7" w:rsidR="001A2067" w:rsidRPr="00360D3C" w:rsidRDefault="001A2067" w:rsidP="00D4363F">
      <w:pPr>
        <w:pStyle w:val="Lijstalinea"/>
        <w:numPr>
          <w:ilvl w:val="0"/>
          <w:numId w:val="1"/>
        </w:numPr>
        <w:spacing w:after="120"/>
        <w:ind w:left="714" w:hanging="357"/>
        <w:jc w:val="both"/>
        <w:rPr>
          <w:rFonts w:ascii="Arial" w:hAnsi="Arial" w:cs="Arial"/>
          <w:b/>
          <w:sz w:val="20"/>
          <w:szCs w:val="20"/>
          <w:lang w:val="en-US"/>
        </w:rPr>
      </w:pPr>
      <w:bookmarkStart w:id="27" w:name="_Ref1466347"/>
      <w:r w:rsidRPr="00360D3C">
        <w:rPr>
          <w:rFonts w:ascii="Arial" w:hAnsi="Arial" w:cs="Arial"/>
          <w:b/>
          <w:sz w:val="20"/>
          <w:szCs w:val="20"/>
          <w:lang w:val="en-US"/>
        </w:rPr>
        <w:t>If a program ends before the deadline for notification of the pharmacovigilance data, should this notification still be done</w:t>
      </w:r>
      <w:bookmarkEnd w:id="27"/>
      <w:r w:rsidR="00275EAB">
        <w:rPr>
          <w:rFonts w:ascii="Arial" w:hAnsi="Arial" w:cs="Arial"/>
          <w:b/>
          <w:sz w:val="20"/>
          <w:szCs w:val="20"/>
          <w:lang w:val="en-US"/>
        </w:rPr>
        <w:t>?</w:t>
      </w:r>
    </w:p>
    <w:p w14:paraId="15B5DCAD" w14:textId="71C97CDB" w:rsidR="001A2067" w:rsidRDefault="001A2067" w:rsidP="001A2067">
      <w:pPr>
        <w:pStyle w:val="Lijstalinea"/>
        <w:spacing w:after="240"/>
        <w:rPr>
          <w:rFonts w:ascii="Arial" w:hAnsi="Arial" w:cs="Arial"/>
          <w:sz w:val="20"/>
          <w:szCs w:val="20"/>
          <w:lang w:val="en-US"/>
        </w:rPr>
      </w:pPr>
      <w:r w:rsidRPr="00E602A4">
        <w:rPr>
          <w:rFonts w:ascii="Arial" w:hAnsi="Arial" w:cs="Arial"/>
          <w:sz w:val="20"/>
          <w:szCs w:val="20"/>
          <w:lang w:val="en-US"/>
        </w:rPr>
        <w:t>Periodical pharmacovigilance data should only be</w:t>
      </w:r>
      <w:r>
        <w:rPr>
          <w:rFonts w:ascii="Arial" w:hAnsi="Arial" w:cs="Arial"/>
          <w:sz w:val="20"/>
          <w:szCs w:val="20"/>
          <w:lang w:val="en-US"/>
        </w:rPr>
        <w:t xml:space="preserve"> notified</w:t>
      </w:r>
      <w:r w:rsidRPr="00E602A4">
        <w:rPr>
          <w:rFonts w:ascii="Arial" w:hAnsi="Arial" w:cs="Arial"/>
          <w:sz w:val="20"/>
          <w:szCs w:val="20"/>
          <w:lang w:val="en-US"/>
        </w:rPr>
        <w:t xml:space="preserve"> </w:t>
      </w:r>
      <w:r>
        <w:rPr>
          <w:rFonts w:ascii="Arial" w:hAnsi="Arial" w:cs="Arial"/>
          <w:sz w:val="20"/>
          <w:szCs w:val="20"/>
          <w:lang w:val="en-US"/>
        </w:rPr>
        <w:t xml:space="preserve">if the program is ongoing (open for new patients). The applicant should notify the FAMHP regarding the end of the program (see question </w:t>
      </w:r>
      <w:r w:rsidR="000F5665">
        <w:rPr>
          <w:rFonts w:ascii="Arial" w:hAnsi="Arial" w:cs="Arial"/>
          <w:sz w:val="20"/>
          <w:szCs w:val="20"/>
          <w:lang w:val="en-US"/>
        </w:rPr>
        <w:t>19</w:t>
      </w:r>
      <w:r>
        <w:rPr>
          <w:rFonts w:ascii="Arial" w:hAnsi="Arial" w:cs="Arial"/>
          <w:sz w:val="20"/>
          <w:szCs w:val="20"/>
          <w:lang w:val="en-US"/>
        </w:rPr>
        <w:t>).</w:t>
      </w:r>
    </w:p>
    <w:p w14:paraId="7CDFA3C6" w14:textId="77777777" w:rsidR="001A2067" w:rsidRDefault="001A2067" w:rsidP="00D4363F">
      <w:pPr>
        <w:pStyle w:val="Lijstalinea"/>
        <w:numPr>
          <w:ilvl w:val="0"/>
          <w:numId w:val="1"/>
        </w:numPr>
        <w:spacing w:after="120"/>
        <w:ind w:left="714" w:hanging="357"/>
        <w:jc w:val="both"/>
        <w:rPr>
          <w:rFonts w:ascii="Arial" w:hAnsi="Arial" w:cs="Arial"/>
          <w:b/>
          <w:sz w:val="20"/>
          <w:szCs w:val="20"/>
          <w:lang w:val="en-US"/>
        </w:rPr>
      </w:pPr>
      <w:bookmarkStart w:id="28" w:name="_Ref1466348"/>
      <w:r>
        <w:rPr>
          <w:rFonts w:ascii="Arial" w:hAnsi="Arial" w:cs="Arial"/>
          <w:b/>
          <w:sz w:val="20"/>
          <w:szCs w:val="20"/>
          <w:lang w:val="en-US"/>
        </w:rPr>
        <w:lastRenderedPageBreak/>
        <w:t>Will the pharmacovigilance timelines change, i</w:t>
      </w:r>
      <w:r w:rsidRPr="00CF6D93">
        <w:rPr>
          <w:rFonts w:ascii="Arial" w:hAnsi="Arial" w:cs="Arial"/>
          <w:b/>
          <w:sz w:val="20"/>
          <w:szCs w:val="20"/>
          <w:lang w:val="en-US"/>
        </w:rPr>
        <w:t xml:space="preserve">f </w:t>
      </w:r>
      <w:r>
        <w:rPr>
          <w:rFonts w:ascii="Arial" w:hAnsi="Arial" w:cs="Arial"/>
          <w:b/>
          <w:sz w:val="20"/>
          <w:szCs w:val="20"/>
          <w:lang w:val="en-US"/>
        </w:rPr>
        <w:t>during a program, MA is requested at EMA (for the same medicinal product in the same indication)?</w:t>
      </w:r>
      <w:bookmarkEnd w:id="28"/>
      <w:r>
        <w:rPr>
          <w:rFonts w:ascii="Arial" w:hAnsi="Arial" w:cs="Arial"/>
          <w:b/>
          <w:sz w:val="20"/>
          <w:szCs w:val="20"/>
          <w:lang w:val="en-US"/>
        </w:rPr>
        <w:t xml:space="preserve">  </w:t>
      </w:r>
    </w:p>
    <w:p w14:paraId="10F778E6" w14:textId="3C1951BA" w:rsidR="001A2067" w:rsidRDefault="001A2067" w:rsidP="00986492">
      <w:pPr>
        <w:pStyle w:val="Lijstalinea"/>
        <w:spacing w:after="240"/>
        <w:jc w:val="both"/>
        <w:rPr>
          <w:rFonts w:ascii="Arial" w:hAnsi="Arial" w:cs="Arial"/>
          <w:sz w:val="20"/>
          <w:szCs w:val="20"/>
          <w:lang w:val="en-US"/>
        </w:rPr>
      </w:pPr>
      <w:r w:rsidRPr="00CF6D93">
        <w:rPr>
          <w:rFonts w:ascii="Arial" w:hAnsi="Arial" w:cs="Arial"/>
          <w:sz w:val="20"/>
          <w:szCs w:val="20"/>
          <w:lang w:val="en-US"/>
        </w:rPr>
        <w:t xml:space="preserve">Yes, however the </w:t>
      </w:r>
      <w:r w:rsidRPr="004C5481">
        <w:rPr>
          <w:rFonts w:ascii="Arial" w:hAnsi="Arial" w:cs="Arial"/>
          <w:sz w:val="20"/>
          <w:szCs w:val="20"/>
          <w:lang w:val="en-US"/>
        </w:rPr>
        <w:t>up</w:t>
      </w:r>
      <w:r>
        <w:rPr>
          <w:rFonts w:ascii="Arial" w:hAnsi="Arial" w:cs="Arial"/>
          <w:sz w:val="20"/>
          <w:szCs w:val="20"/>
          <w:lang w:val="en-US"/>
        </w:rPr>
        <w:t>coming</w:t>
      </w:r>
      <w:r w:rsidRPr="00CF6D93">
        <w:rPr>
          <w:rFonts w:ascii="Arial" w:hAnsi="Arial" w:cs="Arial"/>
          <w:sz w:val="20"/>
          <w:szCs w:val="20"/>
          <w:lang w:val="en-US"/>
        </w:rPr>
        <w:t xml:space="preserve"> deadline for pharmacovigilance reporting (6 months after approval or re-evaluation) is kept. From then on</w:t>
      </w:r>
      <w:r>
        <w:rPr>
          <w:rFonts w:ascii="Arial" w:hAnsi="Arial" w:cs="Arial"/>
          <w:sz w:val="20"/>
          <w:szCs w:val="20"/>
          <w:lang w:val="en-US"/>
        </w:rPr>
        <w:t>,</w:t>
      </w:r>
      <w:r w:rsidRPr="00CF6D93">
        <w:rPr>
          <w:rFonts w:ascii="Arial" w:hAnsi="Arial" w:cs="Arial"/>
          <w:sz w:val="20"/>
          <w:szCs w:val="20"/>
          <w:lang w:val="en-US"/>
        </w:rPr>
        <w:t xml:space="preserve"> yearly reporting is planned. </w:t>
      </w:r>
    </w:p>
    <w:p w14:paraId="00E5C090" w14:textId="77777777" w:rsidR="001A2067" w:rsidRPr="00A62475" w:rsidRDefault="001A2067" w:rsidP="00587079">
      <w:pPr>
        <w:pStyle w:val="Kop1"/>
        <w:numPr>
          <w:ilvl w:val="0"/>
          <w:numId w:val="2"/>
        </w:numPr>
        <w:spacing w:before="360" w:after="240"/>
        <w:ind w:left="567" w:hanging="425"/>
        <w:jc w:val="both"/>
        <w:rPr>
          <w:rStyle w:val="Zwaar"/>
          <w:rFonts w:ascii="Arial" w:hAnsi="Arial" w:cs="Arial"/>
          <w:b/>
          <w:color w:val="auto"/>
          <w:sz w:val="24"/>
          <w:szCs w:val="24"/>
          <w:u w:val="single"/>
          <w:lang w:val="en-US"/>
        </w:rPr>
      </w:pPr>
      <w:bookmarkStart w:id="29" w:name="_Ref1466349"/>
      <w:r w:rsidRPr="00A62475">
        <w:rPr>
          <w:rStyle w:val="Zwaar"/>
          <w:rFonts w:ascii="Arial" w:hAnsi="Arial" w:cs="Arial"/>
          <w:b/>
          <w:color w:val="auto"/>
          <w:sz w:val="24"/>
          <w:szCs w:val="24"/>
          <w:u w:val="single"/>
          <w:lang w:val="en-US"/>
        </w:rPr>
        <w:t>Urgent situations</w:t>
      </w:r>
      <w:bookmarkEnd w:id="29"/>
    </w:p>
    <w:p w14:paraId="0918FFD9" w14:textId="77777777" w:rsidR="001A2067" w:rsidRPr="0096030B" w:rsidRDefault="001A2067" w:rsidP="001A2067">
      <w:pPr>
        <w:pStyle w:val="Lijstalinea"/>
        <w:numPr>
          <w:ilvl w:val="0"/>
          <w:numId w:val="1"/>
        </w:numPr>
        <w:spacing w:after="120"/>
        <w:ind w:left="714" w:hanging="357"/>
        <w:rPr>
          <w:rFonts w:ascii="Arial" w:hAnsi="Arial" w:cs="Arial"/>
          <w:b/>
          <w:sz w:val="20"/>
          <w:szCs w:val="20"/>
          <w:lang w:val="en-US"/>
        </w:rPr>
      </w:pPr>
      <w:bookmarkStart w:id="30" w:name="_Ref1466351"/>
      <w:r w:rsidRPr="0096030B">
        <w:rPr>
          <w:rFonts w:ascii="Arial" w:hAnsi="Arial" w:cs="Arial"/>
          <w:b/>
          <w:sz w:val="20"/>
          <w:szCs w:val="20"/>
          <w:lang w:val="en-US"/>
        </w:rPr>
        <w:t>Can the Urgent Procedure be used if the medicinal product can be imported?</w:t>
      </w:r>
      <w:bookmarkEnd w:id="30"/>
    </w:p>
    <w:p w14:paraId="1F1BEFC4" w14:textId="40EA92A7" w:rsidR="001A2067" w:rsidRDefault="001A2067" w:rsidP="001A2067">
      <w:pPr>
        <w:pStyle w:val="Lijstalinea"/>
        <w:spacing w:before="120" w:after="240"/>
        <w:jc w:val="both"/>
        <w:rPr>
          <w:rFonts w:ascii="Arial" w:hAnsi="Arial" w:cs="Arial"/>
          <w:sz w:val="20"/>
          <w:szCs w:val="20"/>
          <w:lang w:val="en-US"/>
        </w:rPr>
      </w:pPr>
      <w:r w:rsidRPr="0096030B">
        <w:rPr>
          <w:rFonts w:ascii="Arial" w:hAnsi="Arial" w:cs="Arial"/>
          <w:sz w:val="20"/>
          <w:szCs w:val="20"/>
          <w:lang w:val="en-US"/>
        </w:rPr>
        <w:t xml:space="preserve">No, if the medicinal product can be imported in time, the Urgent Procedure cannot be used but the product needs to be imported. </w:t>
      </w:r>
      <w:r w:rsidR="00DA107D">
        <w:rPr>
          <w:rFonts w:ascii="Arial" w:hAnsi="Arial" w:cs="Arial"/>
          <w:sz w:val="20"/>
          <w:szCs w:val="20"/>
          <w:lang w:val="en-US"/>
        </w:rPr>
        <w:t>The application of Art. 105 of the RD of 14/12/2006 for importation is applicable for import from any country in which the medicinal product is authorized.</w:t>
      </w:r>
    </w:p>
    <w:p w14:paraId="13CA40DD" w14:textId="1EDCDECB" w:rsidR="003A47B3" w:rsidRPr="00A45BD0" w:rsidRDefault="003A47B3" w:rsidP="00A45BD0">
      <w:pPr>
        <w:pStyle w:val="Lijstalinea"/>
        <w:numPr>
          <w:ilvl w:val="0"/>
          <w:numId w:val="1"/>
        </w:numPr>
        <w:spacing w:after="120"/>
        <w:ind w:left="714" w:hanging="357"/>
        <w:rPr>
          <w:rFonts w:ascii="Arial" w:hAnsi="Arial" w:cs="Arial"/>
          <w:b/>
          <w:sz w:val="20"/>
          <w:szCs w:val="20"/>
          <w:lang w:val="en-US"/>
        </w:rPr>
      </w:pPr>
      <w:bookmarkStart w:id="31" w:name="_Ref14780940"/>
      <w:r w:rsidRPr="00A45BD0">
        <w:rPr>
          <w:rFonts w:ascii="Arial" w:hAnsi="Arial" w:cs="Arial"/>
          <w:b/>
          <w:sz w:val="20"/>
          <w:szCs w:val="20"/>
          <w:lang w:val="en-US"/>
        </w:rPr>
        <w:t>Can the Urgent Procedure be used if the medicinal product is commercially available in Belgium?</w:t>
      </w:r>
      <w:bookmarkEnd w:id="31"/>
    </w:p>
    <w:p w14:paraId="63B5EDF1" w14:textId="4E78E411" w:rsidR="003A47B3" w:rsidRPr="0096030B" w:rsidRDefault="003A47B3" w:rsidP="001A2067">
      <w:pPr>
        <w:pStyle w:val="Lijstalinea"/>
        <w:spacing w:before="120" w:after="240"/>
        <w:jc w:val="both"/>
        <w:rPr>
          <w:rFonts w:ascii="Arial" w:hAnsi="Arial" w:cs="Arial"/>
          <w:sz w:val="20"/>
          <w:szCs w:val="20"/>
          <w:lang w:val="en-US"/>
        </w:rPr>
      </w:pPr>
      <w:r>
        <w:rPr>
          <w:rFonts w:ascii="Arial" w:hAnsi="Arial" w:cs="Arial"/>
          <w:sz w:val="20"/>
          <w:szCs w:val="20"/>
          <w:lang w:val="en-US"/>
        </w:rPr>
        <w:t xml:space="preserve">No, one of the conditions of Art. 107/1 is that the patient </w:t>
      </w:r>
      <w:r w:rsidR="00194900">
        <w:rPr>
          <w:rFonts w:ascii="Arial" w:hAnsi="Arial" w:cs="Arial"/>
          <w:sz w:val="20"/>
          <w:szCs w:val="20"/>
          <w:lang w:val="en-US"/>
        </w:rPr>
        <w:t>cannot</w:t>
      </w:r>
      <w:r>
        <w:rPr>
          <w:rFonts w:ascii="Arial" w:hAnsi="Arial" w:cs="Arial"/>
          <w:sz w:val="20"/>
          <w:szCs w:val="20"/>
          <w:lang w:val="en-US"/>
        </w:rPr>
        <w:t xml:space="preserve"> be treated with a medicinal product that is commercially available or under hospital exemption, or with a magisterial preparation.  </w:t>
      </w:r>
    </w:p>
    <w:p w14:paraId="4EC541B7" w14:textId="164D265F" w:rsidR="001A2067" w:rsidRPr="0096030B" w:rsidRDefault="001A2067" w:rsidP="004C32C9">
      <w:pPr>
        <w:pStyle w:val="Lijstalinea"/>
        <w:numPr>
          <w:ilvl w:val="0"/>
          <w:numId w:val="1"/>
        </w:numPr>
        <w:spacing w:after="120"/>
        <w:ind w:left="714" w:hanging="357"/>
        <w:jc w:val="both"/>
        <w:rPr>
          <w:rFonts w:ascii="Arial" w:hAnsi="Arial" w:cs="Arial"/>
          <w:b/>
          <w:sz w:val="20"/>
          <w:szCs w:val="20"/>
          <w:lang w:val="en-US"/>
        </w:rPr>
      </w:pPr>
      <w:bookmarkStart w:id="32" w:name="_Ref1398248"/>
      <w:r w:rsidRPr="0096030B">
        <w:rPr>
          <w:rFonts w:ascii="Arial" w:hAnsi="Arial" w:cs="Arial"/>
          <w:b/>
          <w:sz w:val="20"/>
          <w:szCs w:val="20"/>
          <w:lang w:val="en-US"/>
        </w:rPr>
        <w:t>Is Pharmacovigilance Reporting necessary for medicinal product used in an Urgent Situation?</w:t>
      </w:r>
      <w:bookmarkEnd w:id="32"/>
    </w:p>
    <w:p w14:paraId="0F913AEB" w14:textId="3105EA69" w:rsidR="00AF1F0B" w:rsidRDefault="00587079" w:rsidP="00986492">
      <w:pPr>
        <w:pStyle w:val="Lijstalinea"/>
        <w:spacing w:after="240"/>
        <w:jc w:val="both"/>
        <w:rPr>
          <w:rFonts w:ascii="Arial" w:hAnsi="Arial" w:cs="Arial"/>
          <w:sz w:val="20"/>
          <w:szCs w:val="20"/>
          <w:lang w:val="en-US"/>
        </w:rPr>
      </w:pPr>
      <w:r>
        <w:rPr>
          <w:rFonts w:ascii="Arial" w:hAnsi="Arial" w:cs="Arial"/>
          <w:sz w:val="20"/>
          <w:szCs w:val="20"/>
          <w:lang w:val="en-US"/>
        </w:rPr>
        <w:t>For medicinal products used according to art. 107/1 (urgent situations), t</w:t>
      </w:r>
      <w:r w:rsidR="00680F08" w:rsidRPr="00680F08">
        <w:rPr>
          <w:rFonts w:ascii="Arial" w:hAnsi="Arial" w:cs="Arial"/>
          <w:sz w:val="20"/>
          <w:szCs w:val="20"/>
          <w:lang w:val="en-US"/>
        </w:rPr>
        <w:t xml:space="preserve">here is no need for pharmacovigilance reporting </w:t>
      </w:r>
      <w:r w:rsidRPr="00680F08">
        <w:rPr>
          <w:rFonts w:ascii="Arial" w:hAnsi="Arial" w:cs="Arial"/>
          <w:sz w:val="20"/>
          <w:szCs w:val="20"/>
          <w:lang w:val="en-US"/>
        </w:rPr>
        <w:t xml:space="preserve">to the </w:t>
      </w:r>
      <w:r w:rsidRPr="00587079">
        <w:rPr>
          <w:rFonts w:ascii="Arial" w:hAnsi="Arial" w:cs="Arial"/>
          <w:sz w:val="20"/>
          <w:szCs w:val="20"/>
          <w:lang w:val="en-US"/>
        </w:rPr>
        <w:t xml:space="preserve">UMN division of the FAMHP </w:t>
      </w:r>
      <w:r w:rsidR="00680F08" w:rsidRPr="00587079">
        <w:rPr>
          <w:rFonts w:ascii="Arial" w:hAnsi="Arial" w:cs="Arial"/>
          <w:sz w:val="20"/>
          <w:szCs w:val="20"/>
          <w:lang w:val="en-US"/>
        </w:rPr>
        <w:t xml:space="preserve">as for </w:t>
      </w:r>
      <w:r w:rsidRPr="00587079">
        <w:rPr>
          <w:rFonts w:ascii="Arial" w:hAnsi="Arial" w:cs="Arial"/>
          <w:sz w:val="20"/>
          <w:szCs w:val="20"/>
          <w:lang w:val="en-US"/>
        </w:rPr>
        <w:t>UMN</w:t>
      </w:r>
      <w:r w:rsidR="00680F08" w:rsidRPr="00587079">
        <w:rPr>
          <w:rFonts w:ascii="Arial" w:hAnsi="Arial" w:cs="Arial"/>
          <w:sz w:val="20"/>
          <w:szCs w:val="20"/>
          <w:lang w:val="en-US"/>
        </w:rPr>
        <w:t xml:space="preserve"> Programs. However regular pharmacovigilance should be applied for urgent cases conform the EU </w:t>
      </w:r>
      <w:hyperlink r:id="rId14" w:history="1">
        <w:r w:rsidR="00680F08" w:rsidRPr="00587079">
          <w:rPr>
            <w:rStyle w:val="Hyperlink"/>
            <w:rFonts w:ascii="Arial" w:hAnsi="Arial" w:cs="Arial"/>
            <w:sz w:val="20"/>
            <w:szCs w:val="20"/>
            <w:lang w:val="en-US"/>
          </w:rPr>
          <w:t>pharmacovigilance</w:t>
        </w:r>
      </w:hyperlink>
      <w:r w:rsidR="00680F08" w:rsidRPr="00587079">
        <w:rPr>
          <w:rFonts w:ascii="Arial" w:hAnsi="Arial" w:cs="Arial"/>
          <w:sz w:val="20"/>
          <w:szCs w:val="20"/>
          <w:lang w:val="en-US"/>
        </w:rPr>
        <w:t xml:space="preserve"> legislation.</w:t>
      </w:r>
    </w:p>
    <w:p w14:paraId="147801A8" w14:textId="79297503" w:rsidR="004952DB" w:rsidRPr="00E034B8" w:rsidRDefault="004952DB" w:rsidP="00AF1F0B">
      <w:pPr>
        <w:pStyle w:val="Lijstalinea"/>
        <w:jc w:val="both"/>
        <w:rPr>
          <w:rFonts w:ascii="Arial" w:hAnsi="Arial" w:cs="Arial"/>
          <w:i/>
          <w:sz w:val="20"/>
          <w:szCs w:val="20"/>
          <w:lang w:val="en-US"/>
        </w:rPr>
      </w:pPr>
    </w:p>
    <w:p w14:paraId="22385F46" w14:textId="77777777" w:rsidR="00AF1F0B" w:rsidRDefault="00AF1F0B" w:rsidP="00AF1F0B">
      <w:pPr>
        <w:pStyle w:val="Lijstalinea"/>
        <w:jc w:val="both"/>
        <w:rPr>
          <w:rFonts w:ascii="Arial" w:hAnsi="Arial" w:cs="Arial"/>
          <w:sz w:val="20"/>
          <w:szCs w:val="20"/>
          <w:lang w:val="en-US"/>
        </w:rPr>
      </w:pPr>
    </w:p>
    <w:p w14:paraId="67ABB8B3" w14:textId="77777777" w:rsidR="00AF1F0B" w:rsidRPr="00AF1F0B" w:rsidRDefault="00AF1F0B" w:rsidP="00AF1F0B">
      <w:pPr>
        <w:pStyle w:val="Lijstalinea"/>
        <w:jc w:val="both"/>
        <w:rPr>
          <w:rFonts w:ascii="Arial" w:hAnsi="Arial" w:cs="Arial"/>
          <w:sz w:val="20"/>
          <w:szCs w:val="20"/>
          <w:lang w:val="en-US"/>
        </w:rPr>
      </w:pPr>
    </w:p>
    <w:p w14:paraId="61A45D37" w14:textId="42F73281" w:rsidR="00F21526" w:rsidRPr="0095732A" w:rsidRDefault="00F21526">
      <w:pPr>
        <w:rPr>
          <w:lang w:val="en-US"/>
        </w:rPr>
      </w:pPr>
    </w:p>
    <w:sectPr w:rsidR="00F21526" w:rsidRPr="0095732A" w:rsidSect="009278F5">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F66B7" w14:textId="77777777" w:rsidR="003D07AD" w:rsidRDefault="003D07AD">
      <w:r>
        <w:separator/>
      </w:r>
    </w:p>
  </w:endnote>
  <w:endnote w:type="continuationSeparator" w:id="0">
    <w:p w14:paraId="78DC9C3E" w14:textId="77777777" w:rsidR="003D07AD" w:rsidRDefault="003D0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7118566"/>
      <w:docPartObj>
        <w:docPartGallery w:val="Page Numbers (Bottom of Page)"/>
        <w:docPartUnique/>
      </w:docPartObj>
    </w:sdtPr>
    <w:sdtEndPr/>
    <w:sdtContent>
      <w:p w14:paraId="750CB176" w14:textId="671C49F1" w:rsidR="00F21080" w:rsidRPr="002154A6" w:rsidRDefault="00182152" w:rsidP="002154A6">
        <w:pPr>
          <w:pStyle w:val="Voettekst"/>
          <w:jc w:val="right"/>
        </w:pPr>
        <w:r w:rsidRPr="002154A6">
          <w:t>V</w:t>
        </w:r>
        <w:r>
          <w:t xml:space="preserve"> </w:t>
        </w:r>
        <w:r w:rsidRPr="002154A6">
          <w:t>1.</w:t>
        </w:r>
        <w:r w:rsidR="00CF3674">
          <w:t>6</w:t>
        </w:r>
        <w:r>
          <w:t>.</w:t>
        </w:r>
        <w:r w:rsidRPr="002154A6">
          <w:tab/>
        </w:r>
        <w:r w:rsidRPr="002154A6">
          <w:tab/>
        </w:r>
      </w:p>
      <w:p w14:paraId="0300F089" w14:textId="1EC48D7F" w:rsidR="00F21080" w:rsidRDefault="00CF3674" w:rsidP="002154A6">
        <w:pPr>
          <w:pStyle w:val="Voettekst"/>
        </w:pPr>
        <w:r>
          <w:t>2</w:t>
        </w:r>
        <w:r w:rsidR="00743912">
          <w:t>9</w:t>
        </w:r>
        <w:r>
          <w:t>/11/2019</w:t>
        </w:r>
        <w:r w:rsidR="00182152">
          <w:tab/>
        </w:r>
        <w:r w:rsidR="00182152">
          <w:fldChar w:fldCharType="begin"/>
        </w:r>
        <w:r w:rsidR="00182152">
          <w:instrText xml:space="preserve"> PAGE   \* MERGEFORMAT </w:instrText>
        </w:r>
        <w:r w:rsidR="00182152">
          <w:fldChar w:fldCharType="separate"/>
        </w:r>
        <w:r w:rsidR="004820AD">
          <w:rPr>
            <w:noProof/>
          </w:rPr>
          <w:t>1</w:t>
        </w:r>
        <w:r w:rsidR="00182152">
          <w:rPr>
            <w:noProof/>
          </w:rPr>
          <w:fldChar w:fldCharType="end"/>
        </w:r>
      </w:p>
    </w:sdtContent>
  </w:sdt>
  <w:p w14:paraId="56186433" w14:textId="77777777" w:rsidR="00F21080" w:rsidRDefault="004820A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48413" w14:textId="77777777" w:rsidR="003D07AD" w:rsidRDefault="003D07AD">
      <w:r>
        <w:separator/>
      </w:r>
    </w:p>
  </w:footnote>
  <w:footnote w:type="continuationSeparator" w:id="0">
    <w:p w14:paraId="599A1A22" w14:textId="77777777" w:rsidR="003D07AD" w:rsidRDefault="003D07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31" w:type="dxa"/>
      <w:tblLook w:val="00A0" w:firstRow="1" w:lastRow="0" w:firstColumn="1" w:lastColumn="0" w:noHBand="0" w:noVBand="0"/>
    </w:tblPr>
    <w:tblGrid>
      <w:gridCol w:w="5070"/>
      <w:gridCol w:w="4961"/>
    </w:tblGrid>
    <w:tr w:rsidR="00F21080" w:rsidRPr="009724F0" w14:paraId="1C21B380" w14:textId="77777777" w:rsidTr="004F7FA5">
      <w:trPr>
        <w:trHeight w:val="1421"/>
      </w:trPr>
      <w:tc>
        <w:tcPr>
          <w:tcW w:w="5070" w:type="dxa"/>
        </w:tcPr>
        <w:p w14:paraId="7FECDE9E" w14:textId="77777777" w:rsidR="00F21080" w:rsidRPr="009724F0" w:rsidRDefault="00182152" w:rsidP="004F7FA5">
          <w:pPr>
            <w:pStyle w:val="Koptekst"/>
            <w:rPr>
              <w:rFonts w:ascii="Verdana" w:hAnsi="Verdana"/>
              <w:sz w:val="14"/>
              <w:szCs w:val="14"/>
            </w:rPr>
          </w:pPr>
          <w:r>
            <w:rPr>
              <w:rFonts w:ascii="Verdana" w:hAnsi="Verdana"/>
              <w:noProof/>
              <w:sz w:val="14"/>
              <w:szCs w:val="14"/>
            </w:rPr>
            <w:drawing>
              <wp:inline distT="0" distB="0" distL="0" distR="0" wp14:anchorId="3ECA9112" wp14:editId="7C2C2957">
                <wp:extent cx="2080260" cy="769620"/>
                <wp:effectExtent l="19050" t="0" r="0" b="0"/>
                <wp:docPr id="1" name="Image 1" descr="afmps Logo En - CM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fmps Logo En - CMYB"/>
                        <pic:cNvPicPr>
                          <a:picLocks noChangeAspect="1" noChangeArrowheads="1"/>
                        </pic:cNvPicPr>
                      </pic:nvPicPr>
                      <pic:blipFill>
                        <a:blip r:embed="rId1"/>
                        <a:srcRect/>
                        <a:stretch>
                          <a:fillRect/>
                        </a:stretch>
                      </pic:blipFill>
                      <pic:spPr bwMode="auto">
                        <a:xfrm>
                          <a:off x="0" y="0"/>
                          <a:ext cx="2080260" cy="769620"/>
                        </a:xfrm>
                        <a:prstGeom prst="rect">
                          <a:avLst/>
                        </a:prstGeom>
                        <a:noFill/>
                        <a:ln w="9525">
                          <a:noFill/>
                          <a:miter lim="800000"/>
                          <a:headEnd/>
                          <a:tailEnd/>
                        </a:ln>
                      </pic:spPr>
                    </pic:pic>
                  </a:graphicData>
                </a:graphic>
              </wp:inline>
            </w:drawing>
          </w:r>
        </w:p>
      </w:tc>
      <w:tc>
        <w:tcPr>
          <w:tcW w:w="4961" w:type="dxa"/>
          <w:vMerge w:val="restart"/>
        </w:tcPr>
        <w:p w14:paraId="3D25478A" w14:textId="77777777" w:rsidR="00F21080" w:rsidRPr="009724F0" w:rsidRDefault="00182152" w:rsidP="004F7FA5">
          <w:pPr>
            <w:pStyle w:val="Koptekst"/>
            <w:rPr>
              <w:rFonts w:ascii="Verdana" w:hAnsi="Verdana"/>
              <w:color w:val="729BC8"/>
              <w:sz w:val="14"/>
              <w:szCs w:val="14"/>
              <w:lang w:val="en-GB"/>
            </w:rPr>
          </w:pPr>
          <w:r w:rsidRPr="009724F0">
            <w:rPr>
              <w:rFonts w:ascii="Verdana" w:hAnsi="Verdana"/>
              <w:color w:val="729BC8"/>
              <w:sz w:val="14"/>
              <w:szCs w:val="14"/>
              <w:lang w:val="en-GB"/>
            </w:rPr>
            <w:t>Federal agency for medicines and health products</w:t>
          </w:r>
        </w:p>
        <w:p w14:paraId="5A364196" w14:textId="77777777" w:rsidR="00F21080" w:rsidRPr="004F7FA5" w:rsidRDefault="00182152" w:rsidP="004F7FA5">
          <w:pPr>
            <w:pStyle w:val="Koptekst"/>
            <w:rPr>
              <w:rFonts w:ascii="Verdana" w:hAnsi="Verdana"/>
              <w:color w:val="729BC8"/>
              <w:sz w:val="14"/>
              <w:szCs w:val="14"/>
              <w:lang w:val="fr-BE"/>
            </w:rPr>
          </w:pPr>
          <w:proofErr w:type="spellStart"/>
          <w:r w:rsidRPr="009354F8">
            <w:rPr>
              <w:rFonts w:ascii="Verdana" w:hAnsi="Verdana"/>
              <w:color w:val="729BC8"/>
              <w:sz w:val="14"/>
              <w:szCs w:val="14"/>
              <w:lang w:val="fr-BE"/>
            </w:rPr>
            <w:t>Eurostation</w:t>
          </w:r>
          <w:proofErr w:type="spellEnd"/>
          <w:r w:rsidRPr="009354F8">
            <w:rPr>
              <w:rFonts w:ascii="Verdana" w:hAnsi="Verdana"/>
              <w:color w:val="729BC8"/>
              <w:sz w:val="14"/>
              <w:szCs w:val="14"/>
              <w:lang w:val="fr-BE"/>
            </w:rPr>
            <w:t xml:space="preserve"> II - Place Victor Horta 40/40</w:t>
          </w:r>
        </w:p>
        <w:p w14:paraId="6E7F0A21" w14:textId="77777777" w:rsidR="00F21080" w:rsidRPr="004F7FA5" w:rsidRDefault="00182152" w:rsidP="004F7FA5">
          <w:pPr>
            <w:pStyle w:val="Koptekst"/>
            <w:rPr>
              <w:rFonts w:ascii="Verdana" w:hAnsi="Verdana"/>
              <w:color w:val="729BC8"/>
              <w:sz w:val="14"/>
              <w:szCs w:val="14"/>
              <w:lang w:val="fr-BE"/>
            </w:rPr>
          </w:pPr>
          <w:r w:rsidRPr="009354F8">
            <w:rPr>
              <w:rFonts w:ascii="Verdana" w:hAnsi="Verdana"/>
              <w:color w:val="729BC8"/>
              <w:sz w:val="14"/>
              <w:szCs w:val="14"/>
              <w:lang w:val="fr-BE"/>
            </w:rPr>
            <w:t>1060 Brussels</w:t>
          </w:r>
        </w:p>
        <w:p w14:paraId="1AB490BF" w14:textId="77777777" w:rsidR="00F21080" w:rsidRPr="009724F0" w:rsidRDefault="00182152" w:rsidP="004F7FA5">
          <w:pPr>
            <w:pStyle w:val="Koptekst"/>
            <w:rPr>
              <w:rFonts w:ascii="Verdana" w:hAnsi="Verdana"/>
              <w:sz w:val="14"/>
              <w:szCs w:val="14"/>
            </w:rPr>
          </w:pPr>
          <w:r w:rsidRPr="009724F0">
            <w:rPr>
              <w:rFonts w:ascii="Verdana" w:hAnsi="Verdana"/>
              <w:color w:val="729BC8"/>
              <w:sz w:val="14"/>
              <w:szCs w:val="14"/>
            </w:rPr>
            <w:t>www.afmps.be</w:t>
          </w:r>
        </w:p>
      </w:tc>
    </w:tr>
    <w:tr w:rsidR="00F21080" w:rsidRPr="006322F4" w14:paraId="61EBF40A" w14:textId="77777777" w:rsidTr="004F7FA5">
      <w:trPr>
        <w:trHeight w:val="284"/>
      </w:trPr>
      <w:tc>
        <w:tcPr>
          <w:tcW w:w="5070" w:type="dxa"/>
          <w:tcMar>
            <w:left w:w="567" w:type="dxa"/>
          </w:tcMar>
        </w:tcPr>
        <w:p w14:paraId="53EFED3F" w14:textId="77777777" w:rsidR="00A21291" w:rsidRDefault="004820AD" w:rsidP="004F7FA5">
          <w:pPr>
            <w:pStyle w:val="Koptekst"/>
            <w:rPr>
              <w:rFonts w:ascii="Verdana" w:hAnsi="Verdana"/>
              <w:color w:val="729BC8"/>
              <w:sz w:val="14"/>
              <w:szCs w:val="14"/>
              <w:lang w:val="en-GB"/>
            </w:rPr>
          </w:pPr>
        </w:p>
        <w:p w14:paraId="366D691F" w14:textId="77777777" w:rsidR="00F21080" w:rsidRPr="009724F0" w:rsidRDefault="00182152" w:rsidP="004F7FA5">
          <w:pPr>
            <w:pStyle w:val="Koptekst"/>
            <w:rPr>
              <w:rFonts w:ascii="Verdana" w:hAnsi="Verdana"/>
              <w:color w:val="729BC8"/>
              <w:sz w:val="14"/>
              <w:szCs w:val="14"/>
              <w:lang w:val="en-GB"/>
            </w:rPr>
          </w:pPr>
          <w:r>
            <w:rPr>
              <w:rFonts w:ascii="Verdana" w:hAnsi="Verdana"/>
              <w:color w:val="729BC8"/>
              <w:sz w:val="14"/>
              <w:szCs w:val="14"/>
              <w:lang w:val="en-GB"/>
            </w:rPr>
            <w:t>DG Pre</w:t>
          </w:r>
          <w:r w:rsidRPr="009724F0">
            <w:rPr>
              <w:rFonts w:ascii="Verdana" w:hAnsi="Verdana"/>
              <w:color w:val="729BC8"/>
              <w:sz w:val="14"/>
              <w:szCs w:val="14"/>
              <w:lang w:val="en-GB"/>
            </w:rPr>
            <w:t>/</w:t>
          </w:r>
          <w:r>
            <w:rPr>
              <w:rFonts w:ascii="Verdana" w:hAnsi="Verdana"/>
              <w:color w:val="729BC8"/>
              <w:sz w:val="14"/>
              <w:szCs w:val="14"/>
              <w:lang w:val="en-GB"/>
            </w:rPr>
            <w:t>R&amp;D</w:t>
          </w:r>
          <w:r w:rsidRPr="009724F0">
            <w:rPr>
              <w:rFonts w:ascii="Verdana" w:hAnsi="Verdana"/>
              <w:color w:val="729BC8"/>
              <w:sz w:val="14"/>
              <w:szCs w:val="14"/>
              <w:lang w:val="en-GB"/>
            </w:rPr>
            <w:t>/</w:t>
          </w:r>
          <w:r>
            <w:rPr>
              <w:rFonts w:ascii="Verdana" w:hAnsi="Verdana"/>
              <w:color w:val="729BC8"/>
              <w:sz w:val="14"/>
              <w:szCs w:val="14"/>
              <w:lang w:val="en-GB"/>
            </w:rPr>
            <w:t>UMN</w:t>
          </w:r>
        </w:p>
      </w:tc>
      <w:tc>
        <w:tcPr>
          <w:tcW w:w="4961" w:type="dxa"/>
          <w:vMerge/>
          <w:tcMar>
            <w:top w:w="0" w:type="dxa"/>
          </w:tcMar>
        </w:tcPr>
        <w:p w14:paraId="1E669EEF" w14:textId="77777777" w:rsidR="00F21080" w:rsidRPr="004F7FA5" w:rsidRDefault="004820AD" w:rsidP="004F7FA5">
          <w:pPr>
            <w:pStyle w:val="Koptekst"/>
            <w:rPr>
              <w:rFonts w:ascii="Verdana" w:hAnsi="Verdana"/>
              <w:sz w:val="14"/>
              <w:szCs w:val="14"/>
              <w:lang w:val="en-US"/>
            </w:rPr>
          </w:pPr>
        </w:p>
      </w:tc>
    </w:tr>
  </w:tbl>
  <w:p w14:paraId="33FE0CD5" w14:textId="77777777" w:rsidR="00F21080" w:rsidRPr="004F7FA5" w:rsidRDefault="004820AD" w:rsidP="00A21291">
    <w:pPr>
      <w:pStyle w:val="Kopteks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E06EA"/>
    <w:multiLevelType w:val="hybridMultilevel"/>
    <w:tmpl w:val="6EA05EE6"/>
    <w:lvl w:ilvl="0" w:tplc="2D06AD78">
      <w:start w:val="1"/>
      <w:numFmt w:val="upperRoman"/>
      <w:lvlText w:val="%1."/>
      <w:lvlJc w:val="left"/>
      <w:pPr>
        <w:ind w:left="502" w:hanging="360"/>
      </w:pPr>
      <w:rPr>
        <w:rFonts w:ascii="Arial" w:hAnsi="Arial" w:cs="Arial" w:hint="default"/>
        <w:b w:val="0"/>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85E3BF0"/>
    <w:multiLevelType w:val="hybridMultilevel"/>
    <w:tmpl w:val="47A283D8"/>
    <w:lvl w:ilvl="0" w:tplc="5290DF14">
      <w:start w:val="1"/>
      <w:numFmt w:val="upperRoman"/>
      <w:lvlText w:val="%1."/>
      <w:lvlJc w:val="left"/>
      <w:pPr>
        <w:ind w:left="720" w:hanging="360"/>
      </w:pPr>
      <w:rPr>
        <w:rFonts w:ascii="Arial" w:hAnsi="Arial" w:cs="Aria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A24CB1"/>
    <w:multiLevelType w:val="hybridMultilevel"/>
    <w:tmpl w:val="5F0EFFA2"/>
    <w:lvl w:ilvl="0" w:tplc="5290DF14">
      <w:start w:val="1"/>
      <w:numFmt w:val="upperRoman"/>
      <w:lvlText w:val="%1."/>
      <w:lvlJc w:val="left"/>
      <w:pPr>
        <w:ind w:left="1080" w:hanging="720"/>
      </w:pPr>
      <w:rPr>
        <w:rFonts w:ascii="Arial" w:hAnsi="Arial" w:cs="Arial" w:hint="default"/>
        <w:b/>
        <w:color w:val="auto"/>
      </w:rPr>
    </w:lvl>
    <w:lvl w:ilvl="1" w:tplc="9C4CAB6C">
      <w:numFmt w:val="bullet"/>
      <w:lvlText w:val="-"/>
      <w:lvlJc w:val="left"/>
      <w:pPr>
        <w:ind w:left="1440" w:hanging="360"/>
      </w:pPr>
      <w:rPr>
        <w:rFonts w:ascii="Arial" w:eastAsia="Calibri" w:hAnsi="Arial" w:cs="Aria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09B4F73"/>
    <w:multiLevelType w:val="hybridMultilevel"/>
    <w:tmpl w:val="19C26DF2"/>
    <w:lvl w:ilvl="0" w:tplc="E4647DBA">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B030EA"/>
    <w:multiLevelType w:val="hybridMultilevel"/>
    <w:tmpl w:val="7C2C1E54"/>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BB17BE"/>
    <w:multiLevelType w:val="hybridMultilevel"/>
    <w:tmpl w:val="C01A49F8"/>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FE379B"/>
    <w:multiLevelType w:val="hybridMultilevel"/>
    <w:tmpl w:val="D870CC28"/>
    <w:lvl w:ilvl="0" w:tplc="9C4CAB6C">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7" w15:restartNumberingAfterBreak="0">
    <w:nsid w:val="1B7A4FA1"/>
    <w:multiLevelType w:val="hybridMultilevel"/>
    <w:tmpl w:val="4ABC5CA6"/>
    <w:lvl w:ilvl="0" w:tplc="7DA227A6">
      <w:start w:val="1"/>
      <w:numFmt w:val="decimal"/>
      <w:lvlText w:val="%1."/>
      <w:lvlJc w:val="left"/>
      <w:pPr>
        <w:ind w:left="720" w:hanging="360"/>
      </w:pPr>
      <w:rPr>
        <w:b/>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637397"/>
    <w:multiLevelType w:val="hybridMultilevel"/>
    <w:tmpl w:val="68C4A872"/>
    <w:lvl w:ilvl="0" w:tplc="954E478E">
      <w:start w:val="1"/>
      <w:numFmt w:val="decimal"/>
      <w:lvlText w:val="%1."/>
      <w:lvlJc w:val="left"/>
      <w:pPr>
        <w:ind w:left="862" w:hanging="360"/>
      </w:pPr>
      <w:rPr>
        <w:b w:val="0"/>
        <w:lang w:val="en-U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2F5D51CE"/>
    <w:multiLevelType w:val="hybridMultilevel"/>
    <w:tmpl w:val="2E8C3710"/>
    <w:lvl w:ilvl="0" w:tplc="7DA227A6">
      <w:start w:val="1"/>
      <w:numFmt w:val="decimal"/>
      <w:lvlText w:val="%1."/>
      <w:lvlJc w:val="left"/>
      <w:pPr>
        <w:ind w:left="720" w:hanging="360"/>
      </w:pPr>
      <w:rPr>
        <w:b/>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0B0636"/>
    <w:multiLevelType w:val="hybridMultilevel"/>
    <w:tmpl w:val="E65A9064"/>
    <w:lvl w:ilvl="0" w:tplc="5290DF14">
      <w:start w:val="1"/>
      <w:numFmt w:val="upperRoman"/>
      <w:lvlText w:val="%1."/>
      <w:lvlJc w:val="left"/>
      <w:pPr>
        <w:ind w:left="1080" w:hanging="720"/>
      </w:pPr>
      <w:rPr>
        <w:rFonts w:ascii="Arial" w:hAnsi="Arial" w:cs="Arial" w:hint="default"/>
        <w:b/>
        <w:color w:val="auto"/>
      </w:rPr>
    </w:lvl>
    <w:lvl w:ilvl="1" w:tplc="9C4CAB6C">
      <w:numFmt w:val="bullet"/>
      <w:lvlText w:val="-"/>
      <w:lvlJc w:val="left"/>
      <w:pPr>
        <w:ind w:left="1440" w:hanging="360"/>
      </w:pPr>
      <w:rPr>
        <w:rFonts w:ascii="Arial" w:eastAsia="Calibri" w:hAnsi="Arial" w:cs="Aria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40B0568D"/>
    <w:multiLevelType w:val="hybridMultilevel"/>
    <w:tmpl w:val="2BAA8864"/>
    <w:lvl w:ilvl="0" w:tplc="5290DF14">
      <w:start w:val="1"/>
      <w:numFmt w:val="upperRoman"/>
      <w:lvlText w:val="%1."/>
      <w:lvlJc w:val="left"/>
      <w:pPr>
        <w:ind w:left="720" w:hanging="360"/>
      </w:pPr>
      <w:rPr>
        <w:rFonts w:ascii="Arial" w:hAnsi="Arial" w:cs="Aria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7007A3"/>
    <w:multiLevelType w:val="hybridMultilevel"/>
    <w:tmpl w:val="506232F4"/>
    <w:lvl w:ilvl="0" w:tplc="E4647D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C801B5"/>
    <w:multiLevelType w:val="hybridMultilevel"/>
    <w:tmpl w:val="36408D26"/>
    <w:lvl w:ilvl="0" w:tplc="7DA227A6">
      <w:start w:val="1"/>
      <w:numFmt w:val="decimal"/>
      <w:lvlText w:val="%1."/>
      <w:lvlJc w:val="left"/>
      <w:pPr>
        <w:ind w:left="720" w:hanging="360"/>
      </w:pPr>
      <w:rPr>
        <w:b/>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185663"/>
    <w:multiLevelType w:val="hybridMultilevel"/>
    <w:tmpl w:val="9EA48BFC"/>
    <w:lvl w:ilvl="0" w:tplc="0813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56F3220"/>
    <w:multiLevelType w:val="hybridMultilevel"/>
    <w:tmpl w:val="70444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BF2F12"/>
    <w:multiLevelType w:val="hybridMultilevel"/>
    <w:tmpl w:val="1F66EDB4"/>
    <w:lvl w:ilvl="0" w:tplc="5290DF14">
      <w:start w:val="1"/>
      <w:numFmt w:val="upperRoman"/>
      <w:lvlText w:val="%1."/>
      <w:lvlJc w:val="left"/>
      <w:pPr>
        <w:ind w:left="720" w:hanging="360"/>
      </w:pPr>
      <w:rPr>
        <w:rFonts w:ascii="Arial" w:hAnsi="Arial" w:cs="Aria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EA2CBC"/>
    <w:multiLevelType w:val="hybridMultilevel"/>
    <w:tmpl w:val="A90CC072"/>
    <w:lvl w:ilvl="0" w:tplc="7DA227A6">
      <w:start w:val="1"/>
      <w:numFmt w:val="decimal"/>
      <w:lvlText w:val="%1."/>
      <w:lvlJc w:val="left"/>
      <w:pPr>
        <w:ind w:left="720" w:hanging="360"/>
      </w:pPr>
      <w:rPr>
        <w:b/>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E43DE2"/>
    <w:multiLevelType w:val="hybridMultilevel"/>
    <w:tmpl w:val="31D28C5C"/>
    <w:lvl w:ilvl="0" w:tplc="7DA227A6">
      <w:start w:val="1"/>
      <w:numFmt w:val="decimal"/>
      <w:lvlText w:val="%1."/>
      <w:lvlJc w:val="left"/>
      <w:pPr>
        <w:ind w:left="720" w:hanging="360"/>
      </w:pPr>
      <w:rPr>
        <w:b/>
        <w:lang w:val="en-US"/>
      </w:rPr>
    </w:lvl>
    <w:lvl w:ilvl="1" w:tplc="10DC4BE2">
      <w:start w:val="1"/>
      <w:numFmt w:val="decimal"/>
      <w:lvlText w:val="%2)"/>
      <w:lvlJc w:val="left"/>
      <w:pPr>
        <w:ind w:left="1440" w:hanging="360"/>
      </w:pPr>
      <w:rPr>
        <w:rFonts w:hint="default"/>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6CF67755"/>
    <w:multiLevelType w:val="hybridMultilevel"/>
    <w:tmpl w:val="985A49C0"/>
    <w:lvl w:ilvl="0" w:tplc="5290DF14">
      <w:start w:val="1"/>
      <w:numFmt w:val="upperRoman"/>
      <w:lvlText w:val="%1."/>
      <w:lvlJc w:val="left"/>
      <w:pPr>
        <w:ind w:left="720" w:hanging="360"/>
      </w:pPr>
      <w:rPr>
        <w:rFonts w:ascii="Arial" w:hAnsi="Arial" w:cs="Aria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D67F53"/>
    <w:multiLevelType w:val="hybridMultilevel"/>
    <w:tmpl w:val="D7241770"/>
    <w:lvl w:ilvl="0" w:tplc="E4647DBA">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51F7102"/>
    <w:multiLevelType w:val="hybridMultilevel"/>
    <w:tmpl w:val="6E982A5E"/>
    <w:lvl w:ilvl="0" w:tplc="0813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4263D7"/>
    <w:multiLevelType w:val="hybridMultilevel"/>
    <w:tmpl w:val="F520765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7EA56333"/>
    <w:multiLevelType w:val="hybridMultilevel"/>
    <w:tmpl w:val="BCBE4210"/>
    <w:lvl w:ilvl="0" w:tplc="5290DF14">
      <w:start w:val="1"/>
      <w:numFmt w:val="upperRoman"/>
      <w:lvlText w:val="%1."/>
      <w:lvlJc w:val="left"/>
      <w:pPr>
        <w:ind w:left="720" w:hanging="360"/>
      </w:pPr>
      <w:rPr>
        <w:rFonts w:ascii="Arial" w:hAnsi="Arial" w:cs="Aria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0"/>
  </w:num>
  <w:num w:numId="3">
    <w:abstractNumId w:val="15"/>
  </w:num>
  <w:num w:numId="4">
    <w:abstractNumId w:val="20"/>
  </w:num>
  <w:num w:numId="5">
    <w:abstractNumId w:val="3"/>
  </w:num>
  <w:num w:numId="6">
    <w:abstractNumId w:val="12"/>
  </w:num>
  <w:num w:numId="7">
    <w:abstractNumId w:val="6"/>
  </w:num>
  <w:num w:numId="8">
    <w:abstractNumId w:val="4"/>
  </w:num>
  <w:num w:numId="9">
    <w:abstractNumId w:val="8"/>
  </w:num>
  <w:num w:numId="10">
    <w:abstractNumId w:val="17"/>
  </w:num>
  <w:num w:numId="11">
    <w:abstractNumId w:val="13"/>
  </w:num>
  <w:num w:numId="12">
    <w:abstractNumId w:val="7"/>
  </w:num>
  <w:num w:numId="13">
    <w:abstractNumId w:val="9"/>
  </w:num>
  <w:num w:numId="14">
    <w:abstractNumId w:val="5"/>
  </w:num>
  <w:num w:numId="15">
    <w:abstractNumId w:val="0"/>
  </w:num>
  <w:num w:numId="16">
    <w:abstractNumId w:val="23"/>
  </w:num>
  <w:num w:numId="17">
    <w:abstractNumId w:val="16"/>
  </w:num>
  <w:num w:numId="18">
    <w:abstractNumId w:val="1"/>
  </w:num>
  <w:num w:numId="19">
    <w:abstractNumId w:val="19"/>
  </w:num>
  <w:num w:numId="20">
    <w:abstractNumId w:val="11"/>
  </w:num>
  <w:num w:numId="21">
    <w:abstractNumId w:val="22"/>
  </w:num>
  <w:num w:numId="22">
    <w:abstractNumId w:val="2"/>
  </w:num>
  <w:num w:numId="23">
    <w:abstractNumId w:val="1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32A"/>
    <w:rsid w:val="00031616"/>
    <w:rsid w:val="0003400F"/>
    <w:rsid w:val="00077208"/>
    <w:rsid w:val="000E3543"/>
    <w:rsid w:val="000F5665"/>
    <w:rsid w:val="000F594A"/>
    <w:rsid w:val="00182152"/>
    <w:rsid w:val="00194900"/>
    <w:rsid w:val="001A2067"/>
    <w:rsid w:val="001C7454"/>
    <w:rsid w:val="001E14A5"/>
    <w:rsid w:val="00235EE0"/>
    <w:rsid w:val="0027222B"/>
    <w:rsid w:val="00275EAB"/>
    <w:rsid w:val="003022D9"/>
    <w:rsid w:val="003461B7"/>
    <w:rsid w:val="00381E79"/>
    <w:rsid w:val="003A47B3"/>
    <w:rsid w:val="003A6929"/>
    <w:rsid w:val="003B4852"/>
    <w:rsid w:val="003D07AD"/>
    <w:rsid w:val="003E1372"/>
    <w:rsid w:val="00403E33"/>
    <w:rsid w:val="00434C53"/>
    <w:rsid w:val="00461B72"/>
    <w:rsid w:val="004820AD"/>
    <w:rsid w:val="004952DB"/>
    <w:rsid w:val="004C32C9"/>
    <w:rsid w:val="00553939"/>
    <w:rsid w:val="0057126B"/>
    <w:rsid w:val="00587079"/>
    <w:rsid w:val="005A5C97"/>
    <w:rsid w:val="0060239E"/>
    <w:rsid w:val="006322F4"/>
    <w:rsid w:val="006659BF"/>
    <w:rsid w:val="00680F08"/>
    <w:rsid w:val="00695C8A"/>
    <w:rsid w:val="006F2212"/>
    <w:rsid w:val="007426E6"/>
    <w:rsid w:val="00743912"/>
    <w:rsid w:val="00761518"/>
    <w:rsid w:val="007841DA"/>
    <w:rsid w:val="007B02F1"/>
    <w:rsid w:val="007E235F"/>
    <w:rsid w:val="00846C21"/>
    <w:rsid w:val="008C248A"/>
    <w:rsid w:val="008E2D5F"/>
    <w:rsid w:val="009021C6"/>
    <w:rsid w:val="00920D7A"/>
    <w:rsid w:val="00941BF0"/>
    <w:rsid w:val="0095732A"/>
    <w:rsid w:val="00986492"/>
    <w:rsid w:val="009F66C2"/>
    <w:rsid w:val="00A45BD0"/>
    <w:rsid w:val="00AC0BD0"/>
    <w:rsid w:val="00AF1F0B"/>
    <w:rsid w:val="00B32C77"/>
    <w:rsid w:val="00B837FA"/>
    <w:rsid w:val="00B84B49"/>
    <w:rsid w:val="00BB6B70"/>
    <w:rsid w:val="00BC2C28"/>
    <w:rsid w:val="00BF52F4"/>
    <w:rsid w:val="00C260AE"/>
    <w:rsid w:val="00C34E17"/>
    <w:rsid w:val="00CA4D37"/>
    <w:rsid w:val="00CB07EC"/>
    <w:rsid w:val="00CB3C5C"/>
    <w:rsid w:val="00CC1F4F"/>
    <w:rsid w:val="00CF3674"/>
    <w:rsid w:val="00D274BC"/>
    <w:rsid w:val="00D4363F"/>
    <w:rsid w:val="00D64276"/>
    <w:rsid w:val="00DA107D"/>
    <w:rsid w:val="00DB219E"/>
    <w:rsid w:val="00DC36C2"/>
    <w:rsid w:val="00DE2EF9"/>
    <w:rsid w:val="00DF316A"/>
    <w:rsid w:val="00E034B8"/>
    <w:rsid w:val="00E43A0D"/>
    <w:rsid w:val="00E87110"/>
    <w:rsid w:val="00F21526"/>
    <w:rsid w:val="00F642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79DE0"/>
  <w15:chartTrackingRefBased/>
  <w15:docId w15:val="{A353661E-1704-49B4-8E38-89BF52EB9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5732A"/>
    <w:pPr>
      <w:spacing w:after="0" w:line="240" w:lineRule="auto"/>
    </w:pPr>
    <w:rPr>
      <w:rFonts w:ascii="Calibri" w:hAnsi="Calibri" w:cs="Times New Roman"/>
      <w:lang w:eastAsia="nl-BE"/>
    </w:rPr>
  </w:style>
  <w:style w:type="paragraph" w:styleId="Kop1">
    <w:name w:val="heading 1"/>
    <w:basedOn w:val="Standaard"/>
    <w:next w:val="Standaard"/>
    <w:link w:val="Kop1Char"/>
    <w:uiPriority w:val="9"/>
    <w:qFormat/>
    <w:rsid w:val="0095732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5732A"/>
    <w:rPr>
      <w:rFonts w:asciiTheme="majorHAnsi" w:eastAsiaTheme="majorEastAsia" w:hAnsiTheme="majorHAnsi" w:cstheme="majorBidi"/>
      <w:b/>
      <w:bCs/>
      <w:color w:val="2E74B5" w:themeColor="accent1" w:themeShade="BF"/>
      <w:sz w:val="28"/>
      <w:szCs w:val="28"/>
      <w:lang w:eastAsia="nl-BE"/>
    </w:rPr>
  </w:style>
  <w:style w:type="paragraph" w:styleId="Lijstalinea">
    <w:name w:val="List Paragraph"/>
    <w:basedOn w:val="Standaard"/>
    <w:uiPriority w:val="34"/>
    <w:qFormat/>
    <w:rsid w:val="0095732A"/>
    <w:pPr>
      <w:ind w:left="720"/>
    </w:pPr>
  </w:style>
  <w:style w:type="paragraph" w:styleId="Koptekst">
    <w:name w:val="header"/>
    <w:basedOn w:val="Standaard"/>
    <w:link w:val="KoptekstChar"/>
    <w:uiPriority w:val="99"/>
    <w:unhideWhenUsed/>
    <w:rsid w:val="0095732A"/>
    <w:pPr>
      <w:tabs>
        <w:tab w:val="center" w:pos="4536"/>
        <w:tab w:val="right" w:pos="9072"/>
      </w:tabs>
    </w:pPr>
  </w:style>
  <w:style w:type="character" w:customStyle="1" w:styleId="KoptekstChar">
    <w:name w:val="Koptekst Char"/>
    <w:basedOn w:val="Standaardalinea-lettertype"/>
    <w:link w:val="Koptekst"/>
    <w:uiPriority w:val="99"/>
    <w:rsid w:val="0095732A"/>
    <w:rPr>
      <w:rFonts w:ascii="Calibri" w:hAnsi="Calibri" w:cs="Times New Roman"/>
      <w:lang w:eastAsia="nl-BE"/>
    </w:rPr>
  </w:style>
  <w:style w:type="paragraph" w:styleId="Voettekst">
    <w:name w:val="footer"/>
    <w:basedOn w:val="Standaard"/>
    <w:link w:val="VoettekstChar"/>
    <w:uiPriority w:val="99"/>
    <w:unhideWhenUsed/>
    <w:rsid w:val="0095732A"/>
    <w:pPr>
      <w:tabs>
        <w:tab w:val="center" w:pos="4536"/>
        <w:tab w:val="right" w:pos="9072"/>
      </w:tabs>
    </w:pPr>
  </w:style>
  <w:style w:type="character" w:customStyle="1" w:styleId="VoettekstChar">
    <w:name w:val="Voettekst Char"/>
    <w:basedOn w:val="Standaardalinea-lettertype"/>
    <w:link w:val="Voettekst"/>
    <w:uiPriority w:val="99"/>
    <w:rsid w:val="0095732A"/>
    <w:rPr>
      <w:rFonts w:ascii="Calibri" w:hAnsi="Calibri" w:cs="Times New Roman"/>
      <w:lang w:eastAsia="nl-BE"/>
    </w:rPr>
  </w:style>
  <w:style w:type="character" w:styleId="Zwaar">
    <w:name w:val="Strong"/>
    <w:basedOn w:val="Standaardalinea-lettertype"/>
    <w:uiPriority w:val="22"/>
    <w:qFormat/>
    <w:rsid w:val="0095732A"/>
    <w:rPr>
      <w:b/>
      <w:bCs/>
    </w:rPr>
  </w:style>
  <w:style w:type="character" w:styleId="Verwijzingopmerking">
    <w:name w:val="annotation reference"/>
    <w:basedOn w:val="Standaardalinea-lettertype"/>
    <w:uiPriority w:val="99"/>
    <w:semiHidden/>
    <w:unhideWhenUsed/>
    <w:rsid w:val="0095732A"/>
    <w:rPr>
      <w:sz w:val="16"/>
      <w:szCs w:val="16"/>
    </w:rPr>
  </w:style>
  <w:style w:type="paragraph" w:styleId="Tekstopmerking">
    <w:name w:val="annotation text"/>
    <w:basedOn w:val="Standaard"/>
    <w:link w:val="TekstopmerkingChar"/>
    <w:uiPriority w:val="99"/>
    <w:semiHidden/>
    <w:unhideWhenUsed/>
    <w:rsid w:val="0095732A"/>
    <w:rPr>
      <w:sz w:val="20"/>
      <w:szCs w:val="20"/>
    </w:rPr>
  </w:style>
  <w:style w:type="character" w:customStyle="1" w:styleId="TekstopmerkingChar">
    <w:name w:val="Tekst opmerking Char"/>
    <w:basedOn w:val="Standaardalinea-lettertype"/>
    <w:link w:val="Tekstopmerking"/>
    <w:uiPriority w:val="99"/>
    <w:semiHidden/>
    <w:rsid w:val="0095732A"/>
    <w:rPr>
      <w:rFonts w:ascii="Calibri" w:hAnsi="Calibri" w:cs="Times New Roman"/>
      <w:sz w:val="20"/>
      <w:szCs w:val="20"/>
      <w:lang w:eastAsia="nl-BE"/>
    </w:rPr>
  </w:style>
  <w:style w:type="table" w:styleId="Tabelraster">
    <w:name w:val="Table Grid"/>
    <w:basedOn w:val="Standaardtabel"/>
    <w:uiPriority w:val="59"/>
    <w:rsid w:val="0095732A"/>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5732A"/>
    <w:rPr>
      <w:color w:val="0000FF"/>
      <w:u w:val="single"/>
    </w:rPr>
  </w:style>
  <w:style w:type="paragraph" w:styleId="Ballontekst">
    <w:name w:val="Balloon Text"/>
    <w:basedOn w:val="Standaard"/>
    <w:link w:val="BallontekstChar"/>
    <w:uiPriority w:val="99"/>
    <w:semiHidden/>
    <w:unhideWhenUsed/>
    <w:rsid w:val="0095732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5732A"/>
    <w:rPr>
      <w:rFonts w:ascii="Segoe UI" w:hAnsi="Segoe UI" w:cs="Segoe UI"/>
      <w:sz w:val="18"/>
      <w:szCs w:val="18"/>
      <w:lang w:eastAsia="nl-BE"/>
    </w:rPr>
  </w:style>
  <w:style w:type="paragraph" w:styleId="Kopvaninhoudsopgave">
    <w:name w:val="TOC Heading"/>
    <w:basedOn w:val="Kop1"/>
    <w:next w:val="Standaard"/>
    <w:uiPriority w:val="39"/>
    <w:unhideWhenUsed/>
    <w:qFormat/>
    <w:rsid w:val="001A2067"/>
    <w:pPr>
      <w:spacing w:before="240" w:line="259" w:lineRule="auto"/>
      <w:outlineLvl w:val="9"/>
    </w:pPr>
    <w:rPr>
      <w:b w:val="0"/>
      <w:bCs w:val="0"/>
      <w:sz w:val="32"/>
      <w:szCs w:val="32"/>
      <w:lang w:val="en-GB" w:eastAsia="en-GB"/>
    </w:rPr>
  </w:style>
  <w:style w:type="paragraph" w:styleId="Inhopg2">
    <w:name w:val="toc 2"/>
    <w:basedOn w:val="Standaard"/>
    <w:next w:val="Standaard"/>
    <w:autoRedefine/>
    <w:uiPriority w:val="39"/>
    <w:unhideWhenUsed/>
    <w:rsid w:val="001A2067"/>
    <w:pPr>
      <w:spacing w:after="100" w:line="259" w:lineRule="auto"/>
      <w:ind w:left="220"/>
    </w:pPr>
    <w:rPr>
      <w:rFonts w:asciiTheme="minorHAnsi" w:eastAsiaTheme="minorEastAsia" w:hAnsiTheme="minorHAnsi"/>
      <w:lang w:val="en-GB" w:eastAsia="en-GB"/>
    </w:rPr>
  </w:style>
  <w:style w:type="paragraph" w:styleId="Inhopg1">
    <w:name w:val="toc 1"/>
    <w:basedOn w:val="Standaard"/>
    <w:next w:val="Standaard"/>
    <w:autoRedefine/>
    <w:uiPriority w:val="39"/>
    <w:unhideWhenUsed/>
    <w:rsid w:val="001A2067"/>
    <w:pPr>
      <w:spacing w:after="100" w:line="259" w:lineRule="auto"/>
    </w:pPr>
    <w:rPr>
      <w:rFonts w:asciiTheme="minorHAnsi" w:eastAsiaTheme="minorEastAsia" w:hAnsiTheme="minorHAnsi"/>
      <w:lang w:val="en-GB" w:eastAsia="en-GB"/>
    </w:rPr>
  </w:style>
  <w:style w:type="paragraph" w:styleId="Inhopg3">
    <w:name w:val="toc 3"/>
    <w:basedOn w:val="Standaard"/>
    <w:next w:val="Standaard"/>
    <w:autoRedefine/>
    <w:uiPriority w:val="39"/>
    <w:unhideWhenUsed/>
    <w:rsid w:val="001A2067"/>
    <w:pPr>
      <w:spacing w:after="100" w:line="259" w:lineRule="auto"/>
      <w:ind w:left="440"/>
    </w:pPr>
    <w:rPr>
      <w:rFonts w:asciiTheme="minorHAnsi" w:eastAsiaTheme="minorEastAsia" w:hAnsiTheme="minorHAnsi"/>
      <w:lang w:val="en-GB" w:eastAsia="en-GB"/>
    </w:rPr>
  </w:style>
  <w:style w:type="character" w:styleId="GevolgdeHyperlink">
    <w:name w:val="FollowedHyperlink"/>
    <w:basedOn w:val="Standaardalinea-lettertype"/>
    <w:uiPriority w:val="99"/>
    <w:semiHidden/>
    <w:unhideWhenUsed/>
    <w:rsid w:val="00680F08"/>
    <w:rPr>
      <w:color w:val="954F72"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986492"/>
    <w:rPr>
      <w:b/>
      <w:bCs/>
    </w:rPr>
  </w:style>
  <w:style w:type="character" w:customStyle="1" w:styleId="OnderwerpvanopmerkingChar">
    <w:name w:val="Onderwerp van opmerking Char"/>
    <w:basedOn w:val="TekstopmerkingChar"/>
    <w:link w:val="Onderwerpvanopmerking"/>
    <w:uiPriority w:val="99"/>
    <w:semiHidden/>
    <w:rsid w:val="00986492"/>
    <w:rPr>
      <w:rFonts w:ascii="Calibri" w:hAnsi="Calibri" w:cs="Times New Roman"/>
      <w:b/>
      <w:bCs/>
      <w:sz w:val="20"/>
      <w:szCs w:val="20"/>
      <w:lang w:eastAsia="nl-BE"/>
    </w:rPr>
  </w:style>
  <w:style w:type="paragraph" w:styleId="Eindnoottekst">
    <w:name w:val="endnote text"/>
    <w:basedOn w:val="Standaard"/>
    <w:link w:val="EindnoottekstChar"/>
    <w:uiPriority w:val="99"/>
    <w:semiHidden/>
    <w:unhideWhenUsed/>
    <w:rsid w:val="00194900"/>
    <w:rPr>
      <w:sz w:val="20"/>
      <w:szCs w:val="20"/>
    </w:rPr>
  </w:style>
  <w:style w:type="character" w:customStyle="1" w:styleId="EindnoottekstChar">
    <w:name w:val="Eindnoottekst Char"/>
    <w:basedOn w:val="Standaardalinea-lettertype"/>
    <w:link w:val="Eindnoottekst"/>
    <w:uiPriority w:val="99"/>
    <w:semiHidden/>
    <w:rsid w:val="00194900"/>
    <w:rPr>
      <w:rFonts w:ascii="Calibri" w:hAnsi="Calibri" w:cs="Times New Roman"/>
      <w:sz w:val="20"/>
      <w:szCs w:val="20"/>
      <w:lang w:eastAsia="nl-BE"/>
    </w:rPr>
  </w:style>
  <w:style w:type="character" w:styleId="Eindnootmarkering">
    <w:name w:val="endnote reference"/>
    <w:basedOn w:val="Standaardalinea-lettertype"/>
    <w:uiPriority w:val="99"/>
    <w:semiHidden/>
    <w:unhideWhenUsed/>
    <w:rsid w:val="001949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82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gg-afmps.be/en/human_use/medicines/medicines/scientific_technical_advice/generalites/" TargetMode="External"/><Relationship Id="rId13" Type="http://schemas.openxmlformats.org/officeDocument/2006/relationships/hyperlink" Target="mailto:umn@afmps-fagg.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mhp.be/en/human_use/medicines/medicines/research_development/compassionate_use_medical_nee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mhp.be/sites/default/files/downloads/annex%20IV%20-%20summarized%20information%20for%20publication%20-EN-FR-NL-2015-04-27.do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mhp.be/en/human_use/medicines/medicines/research_development/compassionate_use_medical_need" TargetMode="External"/><Relationship Id="rId4" Type="http://schemas.openxmlformats.org/officeDocument/2006/relationships/settings" Target="settings.xml"/><Relationship Id="rId9" Type="http://schemas.openxmlformats.org/officeDocument/2006/relationships/hyperlink" Target="http://www.inami.fgov.be/nl/themas/kost-terugbetaling/door-ziekenfonds/geneesmiddel-gezondheidsproduct/terugbetalen/Paginas/unmet-medical-need.aspx" TargetMode="External"/><Relationship Id="rId14" Type="http://schemas.openxmlformats.org/officeDocument/2006/relationships/hyperlink" Target="https://www.ema.europa.eu/en/human-regulatory/research-development/pharmacovigilance/eudravigilance/eudravigilance-electronic-report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10E72-D1C5-4B18-A4DE-43E0D407B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1977</Words>
  <Characters>10878</Characters>
  <Application>Microsoft Office Word</Application>
  <DocSecurity>0</DocSecurity>
  <Lines>90</Lines>
  <Paragraphs>25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AFMPS-FAGG</Company>
  <LinksUpToDate>false</LinksUpToDate>
  <CharactersWithSpaces>12830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Hoker Joke</dc:creator>
  <cp:keywords/>
  <dc:description/>
  <cp:lastModifiedBy>D Hoker Joke</cp:lastModifiedBy>
  <cp:revision>11</cp:revision>
  <cp:lastPrinted>2019-02-18T13:05:00Z</cp:lastPrinted>
  <dcterms:created xsi:type="dcterms:W3CDTF">2019-07-26T07:57:00Z</dcterms:created>
  <dcterms:modified xsi:type="dcterms:W3CDTF">2019-11-29T08:21:00Z</dcterms:modified>
</cp:coreProperties>
</file>