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Titre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Titre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Titre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Titre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Titre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Titre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Titre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Titre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Titre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Titre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Titre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Titre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Titre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Titre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Titre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Titre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Titre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Titre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Paragraphedeliste"/>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Paragraphedeliste"/>
        <w:keepNext/>
        <w:keepLines/>
        <w:autoSpaceDE w:val="0"/>
        <w:autoSpaceDN w:val="0"/>
        <w:adjustRightInd w:val="0"/>
        <w:spacing w:after="0" w:line="360" w:lineRule="auto"/>
        <w:jc w:val="both"/>
        <w:rPr>
          <w:rFonts w:cs="Calibri"/>
          <w:color w:val="000000"/>
          <w:szCs w:val="18"/>
          <w:lang w:val="en-US"/>
        </w:rPr>
      </w:pPr>
    </w:p>
    <w:p w14:paraId="20E8EA0A" w14:textId="5BCF6B24" w:rsidR="00051652" w:rsidRPr="001332DC"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26BDB1EE"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1620C00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Appelnotedebasdep"/>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clinical and clinical data as in the Investigational Medicinal Product Dossier (“IMPD”) format as described in the clinical trial guidances</w:t>
      </w:r>
      <w:r w:rsidRPr="007E5771">
        <w:rPr>
          <w:rStyle w:val="Appelnotedebasdep"/>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Titre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13BDDB2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758E2ADB" w14:textId="77777777" w:rsidR="00427790" w:rsidRDefault="00427790" w:rsidP="00427790">
      <w:pPr>
        <w:keepNext/>
        <w:keepLines/>
        <w:autoSpaceDE w:val="0"/>
        <w:autoSpaceDN w:val="0"/>
        <w:adjustRightInd w:val="0"/>
        <w:spacing w:after="0" w:line="360" w:lineRule="auto"/>
        <w:rPr>
          <w:rFonts w:cs="Calibri"/>
          <w:color w:val="000000"/>
          <w:lang w:val="en-US"/>
        </w:rPr>
      </w:pPr>
    </w:p>
    <w:p w14:paraId="6A0F07C5" w14:textId="77777777" w:rsidR="00427790" w:rsidRDefault="00427790" w:rsidP="00427790">
      <w:pPr>
        <w:keepNext/>
        <w:keepLines/>
        <w:autoSpaceDE w:val="0"/>
        <w:autoSpaceDN w:val="0"/>
        <w:adjustRightInd w:val="0"/>
        <w:spacing w:after="0" w:line="360" w:lineRule="auto"/>
        <w:rPr>
          <w:rStyle w:val="Lienhypertexte"/>
          <w:rFonts w:cs="Calibri"/>
        </w:rPr>
      </w:pPr>
      <w:r>
        <w:rPr>
          <w:rFonts w:cs="Calibri"/>
          <w:color w:val="000000"/>
          <w:lang w:val="en-US"/>
        </w:rPr>
        <w:t xml:space="preserve">The informed consent form has to be included as well. The FAMHP published templates for informed consent that could be adapted for CUP or MNP. </w:t>
      </w:r>
      <w:hyperlink r:id="rId12" w:history="1">
        <w:r w:rsidRPr="004B4E73">
          <w:rPr>
            <w:rStyle w:val="Lienhypertexte"/>
            <w:rFonts w:cs="Calibri"/>
          </w:rPr>
          <w:t>http://www.fagg-afmps.be/en/human_use/medicines/medicines/research_development/ethic_committee/templates_informed_consent/</w:t>
        </w:r>
      </w:hyperlink>
    </w:p>
    <w:p w14:paraId="5DAA0647" w14:textId="77777777" w:rsidR="00427790" w:rsidRPr="004B4E73" w:rsidRDefault="00427790" w:rsidP="00427790">
      <w:pPr>
        <w:keepNext/>
        <w:keepLines/>
        <w:autoSpaceDE w:val="0"/>
        <w:autoSpaceDN w:val="0"/>
        <w:adjustRightInd w:val="0"/>
        <w:spacing w:after="0" w:line="360" w:lineRule="auto"/>
        <w:rPr>
          <w:rFonts w:cs="Calibri"/>
          <w:color w:val="000000"/>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C363FDA" w14:textId="77777777" w:rsidR="00427790" w:rsidRPr="00427790" w:rsidRDefault="00427790" w:rsidP="00223EDD">
      <w:pPr>
        <w:pStyle w:val="Titre2"/>
        <w:spacing w:after="120" w:line="360" w:lineRule="auto"/>
        <w:ind w:left="1429"/>
        <w:rPr>
          <w:lang w:val="en-US"/>
        </w:rPr>
      </w:pPr>
      <w:r w:rsidRPr="00427790">
        <w:rPr>
          <w:lang w:val="en-US"/>
        </w:rPr>
        <w:t>Labeling of the unmet medical need medicinal product</w:t>
      </w:r>
    </w:p>
    <w:p w14:paraId="483C9B0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requirements as described in GMP 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Titre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Titre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Paragraphedeliste"/>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Paragraphedeliste"/>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Titre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592FDDD" w14:textId="77777777" w:rsidR="00051652" w:rsidRPr="001332DC" w:rsidRDefault="00427790" w:rsidP="00051652">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Titre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475116C8" w14:textId="16EA7C54" w:rsidR="00427790" w:rsidRPr="00587430" w:rsidRDefault="00427790" w:rsidP="00427790">
      <w:pPr>
        <w:keepNext/>
        <w:keepLines/>
        <w:autoSpaceDE w:val="0"/>
        <w:autoSpaceDN w:val="0"/>
        <w:adjustRightInd w:val="0"/>
        <w:spacing w:after="0" w:line="360" w:lineRule="auto"/>
        <w:rPr>
          <w:rStyle w:val="Lienhypertexte"/>
          <w:rFonts w:cs="Calibri"/>
        </w:rPr>
      </w:pPr>
      <w:r>
        <w:rPr>
          <w:rFonts w:cs="Calibri"/>
          <w:color w:val="000000"/>
          <w:lang w:val="en-US"/>
        </w:rPr>
        <w:t>The FAMHP published templates for informed consent that could be adapted for CU</w:t>
      </w:r>
      <w:r w:rsidR="00CA5D44">
        <w:rPr>
          <w:rFonts w:cs="Calibri"/>
          <w:color w:val="000000"/>
          <w:lang w:val="en-US"/>
        </w:rPr>
        <w:t>P</w:t>
      </w:r>
      <w:r>
        <w:rPr>
          <w:rFonts w:cs="Calibri"/>
          <w:color w:val="000000"/>
          <w:lang w:val="en-US"/>
        </w:rPr>
        <w:t xml:space="preserve"> or MNP. </w:t>
      </w:r>
      <w:hyperlink r:id="rId13" w:history="1">
        <w:r w:rsidRPr="00587430">
          <w:rPr>
            <w:rStyle w:val="Lienhypertexte"/>
            <w:rFonts w:cs="Calibri"/>
          </w:rPr>
          <w:t>https://www.famhp.be/en/human_use/medicines/medicines/research_development/ethic_committee/templates_informed_consent</w:t>
        </w:r>
      </w:hyperlink>
    </w:p>
    <w:p w14:paraId="23F8AB35" w14:textId="77777777" w:rsidR="00427790" w:rsidRDefault="00427790" w:rsidP="00223EDD">
      <w:pPr>
        <w:pStyle w:val="Titre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Titre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Appelnotedebasdep"/>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Titre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Lienhypertexte"/>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Titre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products or the duties for post-marketing products for the registration holder have to be applied, this means that any adverse drug reaction has to be recorded in the post market eudravigilance database</w:t>
      </w:r>
      <w:r>
        <w:rPr>
          <w:rStyle w:val="Appelnotedebasdep"/>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Appelnotedebasdep"/>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Appelnotedebasdep"/>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2DDF4989" w14:textId="77777777" w:rsidR="00427790" w:rsidRDefault="00427790" w:rsidP="00427790">
      <w:pPr>
        <w:widowControl w:val="0"/>
        <w:autoSpaceDE w:val="0"/>
        <w:autoSpaceDN w:val="0"/>
        <w:adjustRightInd w:val="0"/>
        <w:spacing w:before="19" w:after="0" w:line="260" w:lineRule="exact"/>
        <w:rPr>
          <w:rFonts w:cs="Verdana"/>
          <w:color w:val="000000"/>
          <w:sz w:val="26"/>
          <w:szCs w:val="26"/>
          <w:lang w:val="en-US"/>
        </w:rPr>
      </w:pPr>
    </w:p>
    <w:p w14:paraId="78111043" w14:textId="77777777" w:rsidR="00CA5D44" w:rsidRPr="00BD7159" w:rsidRDefault="00CA5D44"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275E8C52"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0AC0966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195673F0"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4AA907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0744E6A"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8F10742"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1B04525" w14:textId="2C250CEE"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1BCA5AC0" w:rsidR="00427790" w:rsidRDefault="005553FB"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en-GB" w:eastAsia="en-GB"/>
        </w:rPr>
        <w:lastRenderedPageBreak/>
        <w:drawing>
          <wp:anchor distT="0" distB="0" distL="114300" distR="114300" simplePos="0" relativeHeight="251664384" behindDoc="0" locked="0" layoutInCell="1" allowOverlap="1" wp14:anchorId="36E04F5B" wp14:editId="265CF505">
            <wp:simplePos x="0" y="0"/>
            <wp:positionH relativeFrom="column">
              <wp:posOffset>-273685</wp:posOffset>
            </wp:positionH>
            <wp:positionV relativeFrom="paragraph">
              <wp:posOffset>116205</wp:posOffset>
            </wp:positionV>
            <wp:extent cx="6282055" cy="3081655"/>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A97635">
        <w:rPr>
          <w:noProof/>
          <w:lang w:val="en-GB" w:eastAsia="en-GB"/>
        </w:rPr>
        <mc:AlternateContent>
          <mc:Choice Requires="wps">
            <w:drawing>
              <wp:anchor distT="45720" distB="45720" distL="114300" distR="114300" simplePos="0" relativeHeight="251665408" behindDoc="0" locked="0" layoutInCell="1" allowOverlap="1" wp14:anchorId="7AF402FD" wp14:editId="3D083F28">
                <wp:simplePos x="0" y="0"/>
                <wp:positionH relativeFrom="column">
                  <wp:posOffset>-233680</wp:posOffset>
                </wp:positionH>
                <wp:positionV relativeFrom="paragraph">
                  <wp:posOffset>119380</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18.4pt;margin-top:9.4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7L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DSn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" strokecolor="#375623 [1609]">
                <v:textbo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1EDA2B4F" w14:textId="2BE643FC"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Titre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lastRenderedPageBreak/>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Titre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772E981A" w14:textId="0DEDD2BF" w:rsidR="005617CC" w:rsidRDefault="006922B1" w:rsidP="005617CC">
      <w:pPr>
        <w:rPr>
          <w:color w:val="1F497D"/>
          <w:lang w:val="en-GB"/>
        </w:rPr>
      </w:pPr>
      <w:r>
        <w:rPr>
          <w:color w:val="1F497D"/>
          <w:lang w:val="en-US"/>
        </w:rPr>
        <w:t xml:space="preserve">From </w:t>
      </w:r>
      <w:r w:rsidR="00B529FE">
        <w:rPr>
          <w:color w:val="1F497D"/>
          <w:lang w:val="en-US"/>
        </w:rPr>
        <w:t>19/12/2019</w:t>
      </w:r>
      <w:r>
        <w:rPr>
          <w:color w:val="1F497D"/>
          <w:lang w:val="en-US"/>
        </w:rPr>
        <w:t xml:space="preserve"> new inclusion of patients is</w:t>
      </w:r>
      <w:r w:rsidR="001A1265">
        <w:rPr>
          <w:color w:val="1F497D"/>
          <w:lang w:val="en-US"/>
        </w:rPr>
        <w:t xml:space="preserve"> no longer</w:t>
      </w:r>
      <w:r>
        <w:rPr>
          <w:color w:val="1F497D"/>
          <w:lang w:val="en-US"/>
        </w:rPr>
        <w:t xml:space="preserve"> allowed in programs approved before July 2014 (before the modified RD of 25/04/2014 came into force). </w:t>
      </w:r>
      <w:r w:rsidR="005617CC" w:rsidRPr="00F113E4">
        <w:rPr>
          <w:color w:val="1F497D"/>
          <w:lang w:val="en-GB"/>
        </w:rPr>
        <w:t>If additional request</w:t>
      </w:r>
      <w:r>
        <w:rPr>
          <w:color w:val="1F497D"/>
          <w:lang w:val="en-GB"/>
        </w:rPr>
        <w:t>s</w:t>
      </w:r>
      <w:r w:rsidR="005617CC" w:rsidRPr="00F113E4">
        <w:rPr>
          <w:color w:val="1F497D"/>
          <w:lang w:val="en-GB"/>
        </w:rPr>
        <w:t xml:space="preserve"> to in</w:t>
      </w:r>
      <w:r w:rsidR="00B529FE" w:rsidRPr="00B529FE">
        <w:rPr>
          <w:color w:val="1F497D"/>
          <w:lang w:val="en-GB"/>
        </w:rPr>
        <w:t xml:space="preserve">clude patients </w:t>
      </w:r>
      <w:r w:rsidR="00F113E4">
        <w:rPr>
          <w:color w:val="1F497D"/>
          <w:lang w:val="en-GB"/>
        </w:rPr>
        <w:t xml:space="preserve">in </w:t>
      </w:r>
      <w:bookmarkStart w:id="0" w:name="_GoBack"/>
      <w:bookmarkEnd w:id="0"/>
      <w:r>
        <w:rPr>
          <w:color w:val="1F497D"/>
          <w:lang w:val="en-GB"/>
        </w:rPr>
        <w:t>these</w:t>
      </w:r>
      <w:r w:rsidR="00B529FE" w:rsidRPr="00B529FE">
        <w:rPr>
          <w:color w:val="1F497D"/>
          <w:lang w:val="en-GB"/>
        </w:rPr>
        <w:t xml:space="preserve"> program</w:t>
      </w:r>
      <w:r>
        <w:rPr>
          <w:color w:val="1F497D"/>
          <w:lang w:val="en-GB"/>
        </w:rPr>
        <w:t>s</w:t>
      </w:r>
      <w:r w:rsidR="00B529FE" w:rsidRPr="00B529FE">
        <w:rPr>
          <w:color w:val="1F497D"/>
          <w:lang w:val="en-GB"/>
        </w:rPr>
        <w:t xml:space="preserve"> </w:t>
      </w:r>
      <w:r w:rsidR="001A1265">
        <w:rPr>
          <w:color w:val="1F497D"/>
          <w:lang w:val="en-GB"/>
        </w:rPr>
        <w:t>are foreseen</w:t>
      </w:r>
      <w:r w:rsidR="00B529FE" w:rsidRPr="00B529FE">
        <w:rPr>
          <w:color w:val="1F497D"/>
          <w:lang w:val="en-GB"/>
        </w:rPr>
        <w:t>,</w:t>
      </w:r>
      <w:r w:rsidR="005617CC" w:rsidRPr="00F113E4">
        <w:rPr>
          <w:color w:val="1F497D"/>
          <w:lang w:val="en-GB"/>
        </w:rPr>
        <w:t xml:space="preserve"> </w:t>
      </w:r>
      <w:r>
        <w:rPr>
          <w:color w:val="1F497D"/>
          <w:lang w:val="en-GB"/>
        </w:rPr>
        <w:t>a</w:t>
      </w:r>
      <w:r w:rsidR="001A1265">
        <w:rPr>
          <w:color w:val="1F497D"/>
          <w:lang w:val="en-GB"/>
        </w:rPr>
        <w:t xml:space="preserve"> request to set up a new </w:t>
      </w:r>
      <w:r>
        <w:rPr>
          <w:color w:val="1F497D"/>
          <w:lang w:val="en-GB"/>
        </w:rPr>
        <w:t>program should be</w:t>
      </w:r>
      <w:r w:rsidR="001A1265">
        <w:rPr>
          <w:color w:val="1F497D"/>
          <w:lang w:val="en-GB"/>
        </w:rPr>
        <w:t xml:space="preserve"> submitted</w:t>
      </w:r>
      <w:r>
        <w:rPr>
          <w:color w:val="1F497D"/>
          <w:lang w:val="en-GB"/>
        </w:rPr>
        <w:t xml:space="preserve"> .</w:t>
      </w:r>
    </w:p>
    <w:p w14:paraId="52343093" w14:textId="2A25F9D3" w:rsidR="005617CC" w:rsidRPr="00F113E4" w:rsidRDefault="00B529FE" w:rsidP="005617CC">
      <w:pPr>
        <w:rPr>
          <w:color w:val="1F497D"/>
          <w:lang w:val="en-GB"/>
        </w:rPr>
      </w:pPr>
      <w:r>
        <w:rPr>
          <w:color w:val="1F497D"/>
          <w:lang w:val="en-GB"/>
        </w:rPr>
        <w:t>For the time being, p</w:t>
      </w:r>
      <w:r w:rsidR="005617CC" w:rsidRPr="00F113E4">
        <w:rPr>
          <w:color w:val="1F497D"/>
          <w:lang w:val="en-GB"/>
        </w:rPr>
        <w:t xml:space="preserve">atients already included in </w:t>
      </w:r>
      <w:r w:rsidR="006922B1">
        <w:rPr>
          <w:color w:val="1F497D"/>
          <w:lang w:val="en-GB"/>
        </w:rPr>
        <w:t>a</w:t>
      </w:r>
      <w:r w:rsidR="00F113E4">
        <w:rPr>
          <w:color w:val="1F497D"/>
          <w:lang w:val="en-GB"/>
        </w:rPr>
        <w:t xml:space="preserve"> </w:t>
      </w:r>
      <w:r w:rsidR="005617CC" w:rsidRPr="00F113E4">
        <w:rPr>
          <w:color w:val="1F497D"/>
          <w:lang w:val="en-GB"/>
        </w:rPr>
        <w:t>program</w:t>
      </w:r>
      <w:r w:rsidR="006922B1">
        <w:rPr>
          <w:color w:val="1F497D"/>
          <w:lang w:val="en-GB"/>
        </w:rPr>
        <w:t xml:space="preserve"> approved before July 2014</w:t>
      </w:r>
      <w:r w:rsidR="005617CC" w:rsidRPr="00F113E4">
        <w:rPr>
          <w:color w:val="1F497D"/>
          <w:lang w:val="en-GB"/>
        </w:rPr>
        <w:t xml:space="preserve"> can continue to be </w:t>
      </w:r>
      <w:r w:rsidR="006922B1">
        <w:rPr>
          <w:color w:val="1F497D"/>
          <w:lang w:val="en-GB"/>
        </w:rPr>
        <w:t>treated via the ongoing program</w:t>
      </w:r>
      <w:r w:rsidR="005617CC" w:rsidRPr="00F113E4">
        <w:rPr>
          <w:color w:val="1F497D"/>
          <w:lang w:val="en-GB"/>
        </w:rPr>
        <w:t xml:space="preserve">. </w:t>
      </w:r>
    </w:p>
    <w:p w14:paraId="324E8A37" w14:textId="77777777" w:rsidR="005553FB" w:rsidRPr="005553FB" w:rsidRDefault="00427790" w:rsidP="005553FB">
      <w:pPr>
        <w:pStyle w:val="Titre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28E50549" w:rsidR="00427790" w:rsidRPr="00C57388" w:rsidRDefault="00427790" w:rsidP="005553FB">
      <w:pPr>
        <w:tabs>
          <w:tab w:val="left" w:pos="3939"/>
        </w:tabs>
        <w:rPr>
          <w:color w:val="auto"/>
          <w:lang w:val="en-US"/>
        </w:rPr>
      </w:pPr>
      <w:r w:rsidRPr="007E23D9">
        <w:rPr>
          <w:color w:val="auto"/>
          <w:lang w:val="en-US"/>
        </w:rPr>
        <w:lastRenderedPageBreak/>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sponsor</w:t>
      </w:r>
    </w:p>
    <w:p w14:paraId="664D042F"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A97635">
      <w:pPr>
        <w:keepNext/>
        <w:keepLines/>
        <w:spacing w:after="0"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A97635">
      <w:pPr>
        <w:keepNext/>
        <w:keepLines/>
        <w:spacing w:after="0" w:line="360" w:lineRule="auto"/>
        <w:rPr>
          <w:color w:val="auto"/>
          <w:lang w:val="en-US"/>
        </w:rPr>
      </w:pPr>
      <w:r>
        <w:rPr>
          <w:color w:val="auto"/>
          <w:lang w:val="en-US"/>
        </w:rPr>
        <w:t>- the indication</w:t>
      </w:r>
    </w:p>
    <w:p w14:paraId="1F3AAC84" w14:textId="7777777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28F91122" w14:textId="68008F69" w:rsidR="00427790" w:rsidRPr="004A5DA0" w:rsidRDefault="00427790" w:rsidP="00427790">
      <w:pPr>
        <w:pStyle w:val="Titre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9" w:history="1">
        <w:r w:rsidRPr="00A86E69">
          <w:rPr>
            <w:rStyle w:val="Lienhypertexte"/>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77777777" w:rsidR="00427790" w:rsidRDefault="00427790" w:rsidP="00427790">
      <w:pPr>
        <w:rPr>
          <w:rFonts w:cs="Calibri"/>
          <w:color w:val="000000"/>
          <w:lang w:val="en-US"/>
        </w:rPr>
      </w:pP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20"/>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9430" w14:textId="77777777" w:rsidR="00BC73DC" w:rsidRDefault="00BC73DC" w:rsidP="00427790">
      <w:pPr>
        <w:spacing w:after="0" w:line="240" w:lineRule="auto"/>
      </w:pPr>
      <w:r>
        <w:separator/>
      </w:r>
    </w:p>
  </w:endnote>
  <w:endnote w:type="continuationSeparator" w:id="0">
    <w:p w14:paraId="73BC8643" w14:textId="77777777" w:rsidR="00BC73DC" w:rsidRDefault="00BC73D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C60" w14:textId="0E8496EB" w:rsidR="00427790" w:rsidRDefault="00427790" w:rsidP="00272A92">
    <w:pPr>
      <w:pStyle w:val="En-tte"/>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F113E4" w:rsidRPr="00F113E4">
      <w:rPr>
        <w:noProof/>
        <w:color w:val="729BC8"/>
        <w:szCs w:val="18"/>
        <w:lang w:val="fr-FR"/>
      </w:rPr>
      <w:t>11</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F113E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492931">
      <w:rPr>
        <w:color w:val="729BC8"/>
        <w:sz w:val="14"/>
        <w:szCs w:val="14"/>
      </w:rPr>
      <w:t>10</w:t>
    </w:r>
  </w:p>
  <w:p w14:paraId="7544DBB5" w14:textId="3984CAE1" w:rsidR="00427790" w:rsidRPr="004F30F6" w:rsidRDefault="00972592" w:rsidP="001332DC">
    <w:pPr>
      <w:pStyle w:val="En-tte"/>
      <w:tabs>
        <w:tab w:val="clear" w:pos="4536"/>
        <w:tab w:val="clear" w:pos="9072"/>
        <w:tab w:val="center" w:pos="4819"/>
        <w:tab w:val="right" w:pos="9638"/>
      </w:tabs>
      <w:spacing w:line="324" w:lineRule="auto"/>
      <w:jc w:val="center"/>
      <w:rPr>
        <w:color w:val="729BC8"/>
        <w:sz w:val="14"/>
        <w:szCs w:val="14"/>
      </w:rPr>
    </w:pPr>
    <w:r>
      <w:rPr>
        <w:color w:val="729BC8"/>
        <w:sz w:val="14"/>
        <w:szCs w:val="14"/>
      </w:rPr>
      <w:t>18</w:t>
    </w:r>
    <w:r w:rsidR="00492931">
      <w:rPr>
        <w:color w:val="729BC8"/>
        <w:sz w:val="14"/>
        <w:szCs w:val="14"/>
      </w:rPr>
      <w:t>/0</w:t>
    </w:r>
    <w:r w:rsidR="001332DC">
      <w:rPr>
        <w:color w:val="729BC8"/>
        <w:sz w:val="14"/>
        <w:szCs w:val="14"/>
      </w:rPr>
      <w:t>6</w:t>
    </w:r>
    <w:r w:rsidR="00C345DF">
      <w:rPr>
        <w:color w:val="729BC8"/>
        <w:sz w:val="14"/>
        <w:szCs w:val="14"/>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94BA" w14:textId="77777777" w:rsidR="00427790" w:rsidRDefault="00427790">
    <w:pPr>
      <w:pStyle w:val="Pieddepage"/>
    </w:pPr>
    <w:r>
      <w:t xml:space="preserve">Version 1.1 </w:t>
    </w:r>
  </w:p>
  <w:p w14:paraId="3BA6A08D" w14:textId="77777777" w:rsidR="00427790" w:rsidRDefault="00427790" w:rsidP="004C26DC">
    <w:pPr>
      <w:pStyle w:val="Pieddepage"/>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9D4C" w14:textId="77777777" w:rsidR="00BC73DC" w:rsidRDefault="00BC73DC" w:rsidP="00427790">
      <w:pPr>
        <w:spacing w:after="0" w:line="240" w:lineRule="auto"/>
      </w:pPr>
      <w:r>
        <w:separator/>
      </w:r>
    </w:p>
  </w:footnote>
  <w:footnote w:type="continuationSeparator" w:id="0">
    <w:p w14:paraId="3EC24041" w14:textId="77777777" w:rsidR="00BC73DC" w:rsidRDefault="00BC73DC" w:rsidP="00427790">
      <w:pPr>
        <w:spacing w:after="0" w:line="240" w:lineRule="auto"/>
      </w:pPr>
      <w:r>
        <w:continuationSeparator/>
      </w:r>
    </w:p>
  </w:footnote>
  <w:footnote w:id="1">
    <w:p w14:paraId="25B0DE5C" w14:textId="77777777" w:rsidR="00427790" w:rsidRPr="00B108A3"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Notedebasdepage"/>
        <w:rPr>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Lienhypertexte"/>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Lienhypertexte"/>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Notedebasdepage"/>
        <w:rPr>
          <w:lang w:val="en-US"/>
        </w:rPr>
      </w:pPr>
      <w:r>
        <w:rPr>
          <w:rStyle w:val="Appelnotedebasdep"/>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Notedebasdepage"/>
        <w:rPr>
          <w:lang w:val="en-US"/>
        </w:rPr>
      </w:pPr>
      <w:r>
        <w:rPr>
          <w:rStyle w:val="Appelnotedebasdep"/>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427790">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Appelnotedebasdep"/>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En-tte"/>
            <w:rPr>
              <w:rFonts w:ascii="Verdana" w:hAnsi="Verdana"/>
              <w:sz w:val="14"/>
              <w:szCs w:val="14"/>
            </w:rPr>
          </w:pPr>
          <w:r>
            <w:rPr>
              <w:rFonts w:ascii="Verdana" w:hAnsi="Verdana"/>
              <w:noProof/>
              <w:sz w:val="14"/>
              <w:szCs w:val="14"/>
              <w:lang w:val="en-GB" w:eastAsia="en-GB"/>
            </w:rPr>
            <w:drawing>
              <wp:inline distT="0" distB="0" distL="0" distR="0" wp14:anchorId="1D07D935" wp14:editId="512480EC">
                <wp:extent cx="2076450" cy="774700"/>
                <wp:effectExtent l="19050" t="0" r="0" b="0"/>
                <wp:docPr id="3"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En-tte"/>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Eurostation II - Place Victor Horta 40/40</w:t>
          </w:r>
        </w:p>
        <w:p w14:paraId="0BA9BB8E"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En-tte"/>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F113E4"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En-tte"/>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En-tte"/>
            <w:rPr>
              <w:sz w:val="14"/>
              <w:szCs w:val="14"/>
              <w:lang w:val="en-US"/>
            </w:rPr>
          </w:pPr>
        </w:p>
      </w:tc>
    </w:tr>
  </w:tbl>
  <w:p w14:paraId="5E36B719" w14:textId="77777777" w:rsidR="00427790" w:rsidRPr="00272A92" w:rsidRDefault="00427790">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En-tte"/>
          </w:pPr>
          <w:r>
            <w:rPr>
              <w:noProof/>
              <w:lang w:val="en-GB" w:eastAsia="en-GB"/>
            </w:rPr>
            <w:drawing>
              <wp:inline distT="0" distB="0" distL="0" distR="0" wp14:anchorId="40BCC7B8" wp14:editId="2546BC41">
                <wp:extent cx="2076450" cy="7747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En-tte"/>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En-tte"/>
            <w:spacing w:line="324" w:lineRule="auto"/>
            <w:rPr>
              <w:color w:val="729BC8"/>
              <w:sz w:val="14"/>
              <w:szCs w:val="14"/>
            </w:rPr>
          </w:pPr>
          <w:r w:rsidRPr="004C26DC">
            <w:rPr>
              <w:color w:val="729BC8"/>
              <w:sz w:val="14"/>
              <w:szCs w:val="14"/>
            </w:rPr>
            <w:t>Eurostation II - Place Victor Horta 40/40</w:t>
          </w:r>
        </w:p>
        <w:p w14:paraId="057A78FB" w14:textId="77777777" w:rsidR="00427790" w:rsidRPr="004C26DC" w:rsidRDefault="00427790" w:rsidP="004C26DC">
          <w:pPr>
            <w:pStyle w:val="En-tte"/>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En-tte"/>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En-tte"/>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En-tte"/>
            <w:spacing w:line="360" w:lineRule="auto"/>
          </w:pPr>
        </w:p>
      </w:tc>
    </w:tr>
  </w:tbl>
  <w:p w14:paraId="3CE97E3D" w14:textId="77777777" w:rsidR="00427790" w:rsidRDefault="004277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977C" w14:textId="77777777" w:rsidR="00427790" w:rsidRPr="00272A92" w:rsidRDefault="00427790">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Titre1"/>
      <w:lvlText w:val="%1."/>
      <w:lvlJc w:val="left"/>
      <w:pPr>
        <w:ind w:left="708" w:firstLine="0"/>
      </w:pPr>
      <w:rPr>
        <w:rFonts w:hint="default"/>
        <w:b/>
      </w:rPr>
    </w:lvl>
    <w:lvl w:ilvl="1">
      <w:start w:val="1"/>
      <w:numFmt w:val="upperLetter"/>
      <w:pStyle w:val="Titre2"/>
      <w:lvlText w:val="%2."/>
      <w:lvlJc w:val="left"/>
      <w:pPr>
        <w:ind w:left="1985" w:firstLine="0"/>
      </w:pPr>
      <w:rPr>
        <w:rFonts w:hint="default"/>
      </w:rPr>
    </w:lvl>
    <w:lvl w:ilvl="2">
      <w:start w:val="1"/>
      <w:numFmt w:val="decimal"/>
      <w:pStyle w:val="Titre3"/>
      <w:lvlText w:val="%3."/>
      <w:lvlJc w:val="left"/>
      <w:pPr>
        <w:ind w:left="2148" w:firstLine="0"/>
      </w:pPr>
      <w:rPr>
        <w:rFonts w:hint="default"/>
      </w:rPr>
    </w:lvl>
    <w:lvl w:ilvl="3">
      <w:start w:val="1"/>
      <w:numFmt w:val="lowerLetter"/>
      <w:pStyle w:val="Titre4"/>
      <w:lvlText w:val="%4)"/>
      <w:lvlJc w:val="left"/>
      <w:pPr>
        <w:ind w:left="2868" w:firstLine="0"/>
      </w:pPr>
      <w:rPr>
        <w:rFonts w:hint="default"/>
      </w:rPr>
    </w:lvl>
    <w:lvl w:ilvl="4">
      <w:start w:val="1"/>
      <w:numFmt w:val="decimal"/>
      <w:pStyle w:val="Titre5"/>
      <w:lvlText w:val="(%5)"/>
      <w:lvlJc w:val="left"/>
      <w:pPr>
        <w:ind w:left="3588" w:firstLine="0"/>
      </w:pPr>
      <w:rPr>
        <w:rFonts w:hint="default"/>
      </w:rPr>
    </w:lvl>
    <w:lvl w:ilvl="5">
      <w:start w:val="1"/>
      <w:numFmt w:val="lowerLetter"/>
      <w:pStyle w:val="Titre6"/>
      <w:lvlText w:val="(%6)"/>
      <w:lvlJc w:val="left"/>
      <w:pPr>
        <w:ind w:left="4308" w:firstLine="0"/>
      </w:pPr>
      <w:rPr>
        <w:rFonts w:hint="default"/>
      </w:rPr>
    </w:lvl>
    <w:lvl w:ilvl="6">
      <w:start w:val="1"/>
      <w:numFmt w:val="lowerRoman"/>
      <w:pStyle w:val="Titre7"/>
      <w:lvlText w:val="(%7)"/>
      <w:lvlJc w:val="left"/>
      <w:pPr>
        <w:ind w:left="5028" w:firstLine="0"/>
      </w:pPr>
      <w:rPr>
        <w:rFonts w:hint="default"/>
      </w:rPr>
    </w:lvl>
    <w:lvl w:ilvl="7">
      <w:start w:val="1"/>
      <w:numFmt w:val="lowerLetter"/>
      <w:pStyle w:val="Titre8"/>
      <w:lvlText w:val="(%8)"/>
      <w:lvlJc w:val="left"/>
      <w:pPr>
        <w:ind w:left="5748" w:firstLine="0"/>
      </w:pPr>
      <w:rPr>
        <w:rFonts w:hint="default"/>
      </w:rPr>
    </w:lvl>
    <w:lvl w:ilvl="8">
      <w:start w:val="1"/>
      <w:numFmt w:val="lowerRoman"/>
      <w:pStyle w:val="Titre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90"/>
    <w:rsid w:val="00051652"/>
    <w:rsid w:val="00110FE6"/>
    <w:rsid w:val="001332DC"/>
    <w:rsid w:val="0015441D"/>
    <w:rsid w:val="0016514F"/>
    <w:rsid w:val="001A1265"/>
    <w:rsid w:val="001D4FEE"/>
    <w:rsid w:val="00223EDD"/>
    <w:rsid w:val="00311024"/>
    <w:rsid w:val="00385677"/>
    <w:rsid w:val="00402FC6"/>
    <w:rsid w:val="00427790"/>
    <w:rsid w:val="00436349"/>
    <w:rsid w:val="00455ACC"/>
    <w:rsid w:val="00492931"/>
    <w:rsid w:val="004E5F17"/>
    <w:rsid w:val="00543D9D"/>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C6F5E"/>
    <w:rsid w:val="008A6194"/>
    <w:rsid w:val="008E70B0"/>
    <w:rsid w:val="009159B2"/>
    <w:rsid w:val="00921894"/>
    <w:rsid w:val="009236D3"/>
    <w:rsid w:val="00972592"/>
    <w:rsid w:val="009A0FF2"/>
    <w:rsid w:val="00A62D5D"/>
    <w:rsid w:val="00A97635"/>
    <w:rsid w:val="00B01036"/>
    <w:rsid w:val="00B07B11"/>
    <w:rsid w:val="00B129BB"/>
    <w:rsid w:val="00B529FE"/>
    <w:rsid w:val="00B65D51"/>
    <w:rsid w:val="00BA34B1"/>
    <w:rsid w:val="00BC5467"/>
    <w:rsid w:val="00BC73DC"/>
    <w:rsid w:val="00C34073"/>
    <w:rsid w:val="00C345DF"/>
    <w:rsid w:val="00C607A7"/>
    <w:rsid w:val="00CA5D44"/>
    <w:rsid w:val="00CB70B5"/>
    <w:rsid w:val="00D3717F"/>
    <w:rsid w:val="00F054E8"/>
    <w:rsid w:val="00F113E4"/>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90"/>
    <w:pPr>
      <w:spacing w:after="200" w:line="300" w:lineRule="auto"/>
      <w:jc w:val="both"/>
    </w:pPr>
    <w:rPr>
      <w:rFonts w:ascii="Verdana" w:eastAsia="Calibri" w:hAnsi="Verdana" w:cs="Times New Roman"/>
      <w:color w:val="575757"/>
      <w:sz w:val="18"/>
    </w:rPr>
  </w:style>
  <w:style w:type="paragraph" w:styleId="Titre1">
    <w:name w:val="heading 1"/>
    <w:basedOn w:val="Normal"/>
    <w:next w:val="Normal"/>
    <w:link w:val="Titre1C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Titre4">
    <w:name w:val="heading 4"/>
    <w:basedOn w:val="Normal"/>
    <w:next w:val="Normal"/>
    <w:link w:val="Titre4C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Titre5">
    <w:name w:val="heading 5"/>
    <w:basedOn w:val="Normal"/>
    <w:next w:val="Normal"/>
    <w:link w:val="Titre5C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Titre6">
    <w:name w:val="heading 6"/>
    <w:basedOn w:val="Normal"/>
    <w:next w:val="Normal"/>
    <w:link w:val="Titre6C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Titre7">
    <w:name w:val="heading 7"/>
    <w:basedOn w:val="Normal"/>
    <w:next w:val="Normal"/>
    <w:link w:val="Titre7C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Titre8">
    <w:name w:val="heading 8"/>
    <w:basedOn w:val="Normal"/>
    <w:next w:val="Normal"/>
    <w:link w:val="Titre8C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790"/>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427790"/>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427790"/>
    <w:rPr>
      <w:rFonts w:ascii="Cambria" w:eastAsia="Times New Roman" w:hAnsi="Cambria" w:cs="Times New Roman"/>
      <w:b/>
      <w:bCs/>
      <w:color w:val="4F81BD"/>
    </w:rPr>
  </w:style>
  <w:style w:type="character" w:customStyle="1" w:styleId="Titre4Car">
    <w:name w:val="Titre 4 Car"/>
    <w:basedOn w:val="Policepardfaut"/>
    <w:link w:val="Titre4"/>
    <w:uiPriority w:val="9"/>
    <w:rsid w:val="00427790"/>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427790"/>
    <w:rPr>
      <w:rFonts w:ascii="Cambria" w:eastAsia="Times New Roman" w:hAnsi="Cambria" w:cs="Times New Roman"/>
      <w:color w:val="243F60"/>
    </w:rPr>
  </w:style>
  <w:style w:type="character" w:customStyle="1" w:styleId="Titre6Car">
    <w:name w:val="Titre 6 Car"/>
    <w:basedOn w:val="Policepardfaut"/>
    <w:link w:val="Titre6"/>
    <w:uiPriority w:val="9"/>
    <w:semiHidden/>
    <w:rsid w:val="00427790"/>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427790"/>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42779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427790"/>
    <w:rPr>
      <w:rFonts w:ascii="Cambria" w:eastAsia="Times New Roman" w:hAnsi="Cambria" w:cs="Times New Roman"/>
      <w:i/>
      <w:iCs/>
      <w:color w:val="404040"/>
      <w:sz w:val="20"/>
      <w:szCs w:val="20"/>
    </w:rPr>
  </w:style>
  <w:style w:type="paragraph" w:styleId="En-tte">
    <w:name w:val="header"/>
    <w:basedOn w:val="Normal"/>
    <w:link w:val="En-tt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rsid w:val="00427790"/>
    <w:rPr>
      <w:rFonts w:ascii="Calibri" w:eastAsia="Calibri" w:hAnsi="Calibri" w:cs="Times New Roman"/>
    </w:rPr>
  </w:style>
  <w:style w:type="paragraph" w:styleId="Pieddepage">
    <w:name w:val="footer"/>
    <w:basedOn w:val="Normal"/>
    <w:link w:val="Pieddepag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rsid w:val="00427790"/>
    <w:rPr>
      <w:rFonts w:ascii="Calibri" w:eastAsia="Calibri" w:hAnsi="Calibri" w:cs="Times New Roman"/>
    </w:rPr>
  </w:style>
  <w:style w:type="paragraph" w:styleId="Paragraphedeliste">
    <w:name w:val="List Paragraph"/>
    <w:basedOn w:val="Normal"/>
    <w:uiPriority w:val="34"/>
    <w:qFormat/>
    <w:rsid w:val="00427790"/>
    <w:pPr>
      <w:spacing w:line="276" w:lineRule="auto"/>
      <w:ind w:left="720"/>
      <w:contextualSpacing/>
      <w:jc w:val="left"/>
    </w:pPr>
    <w:rPr>
      <w:rFonts w:ascii="Calibri" w:hAnsi="Calibri"/>
      <w:color w:val="auto"/>
      <w:sz w:val="22"/>
    </w:rPr>
  </w:style>
  <w:style w:type="paragraph" w:styleId="Notedebasdepage">
    <w:name w:val="footnote text"/>
    <w:basedOn w:val="Normal"/>
    <w:link w:val="NotedebasdepageCar"/>
    <w:uiPriority w:val="99"/>
    <w:semiHidden/>
    <w:unhideWhenUsed/>
    <w:rsid w:val="00427790"/>
    <w:pPr>
      <w:spacing w:after="0" w:line="240" w:lineRule="auto"/>
      <w:jc w:val="left"/>
    </w:pPr>
    <w:rPr>
      <w:rFonts w:ascii="Calibri" w:hAnsi="Calibri"/>
      <w:color w:val="auto"/>
      <w:sz w:val="20"/>
      <w:szCs w:val="20"/>
    </w:rPr>
  </w:style>
  <w:style w:type="character" w:customStyle="1" w:styleId="NotedebasdepageCar">
    <w:name w:val="Note de bas de page Car"/>
    <w:basedOn w:val="Policepardfaut"/>
    <w:link w:val="Notedebasdepage"/>
    <w:uiPriority w:val="99"/>
    <w:semiHidden/>
    <w:rsid w:val="004277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427790"/>
    <w:rPr>
      <w:vertAlign w:val="superscript"/>
    </w:rPr>
  </w:style>
  <w:style w:type="character" w:styleId="Lienhypertexte">
    <w:name w:val="Hyperlink"/>
    <w:basedOn w:val="Policepardfaut"/>
    <w:uiPriority w:val="99"/>
    <w:unhideWhenUsed/>
    <w:rsid w:val="00427790"/>
    <w:rPr>
      <w:color w:val="0000FF"/>
      <w:u w:val="single"/>
    </w:rPr>
  </w:style>
  <w:style w:type="table" w:styleId="Grilledutableau">
    <w:name w:val="Table Grid"/>
    <w:basedOn w:val="TableauNorma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27790"/>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427790"/>
    <w:rPr>
      <w:rFonts w:ascii="Tahoma" w:eastAsia="Calibri" w:hAnsi="Tahoma" w:cs="Tahoma"/>
      <w:sz w:val="16"/>
      <w:szCs w:val="16"/>
    </w:rPr>
  </w:style>
  <w:style w:type="paragraph" w:styleId="Titre">
    <w:name w:val="Title"/>
    <w:basedOn w:val="Normal"/>
    <w:next w:val="Normal"/>
    <w:link w:val="TitreC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reCar">
    <w:name w:val="Titre Car"/>
    <w:basedOn w:val="Policepardfaut"/>
    <w:link w:val="Titre"/>
    <w:uiPriority w:val="99"/>
    <w:rsid w:val="00427790"/>
    <w:rPr>
      <w:rFonts w:ascii="Verdana" w:eastAsia="Times New Roman" w:hAnsi="Verdana" w:cs="Times New Roman"/>
      <w:b/>
      <w:color w:val="729BC8"/>
      <w:spacing w:val="5"/>
      <w:kern w:val="28"/>
      <w:sz w:val="28"/>
      <w:szCs w:val="52"/>
    </w:rPr>
  </w:style>
  <w:style w:type="character" w:styleId="Marquedecommentaire">
    <w:name w:val="annotation reference"/>
    <w:basedOn w:val="Policepardfaut"/>
    <w:uiPriority w:val="99"/>
    <w:semiHidden/>
    <w:unhideWhenUsed/>
    <w:rsid w:val="00427790"/>
    <w:rPr>
      <w:sz w:val="16"/>
      <w:szCs w:val="16"/>
    </w:rPr>
  </w:style>
  <w:style w:type="paragraph" w:styleId="Commentaire">
    <w:name w:val="annotation text"/>
    <w:basedOn w:val="Normal"/>
    <w:link w:val="CommentaireCar"/>
    <w:uiPriority w:val="99"/>
    <w:unhideWhenUsed/>
    <w:rsid w:val="00427790"/>
    <w:pPr>
      <w:spacing w:line="240" w:lineRule="auto"/>
      <w:jc w:val="left"/>
    </w:pPr>
    <w:rPr>
      <w:rFonts w:ascii="Calibri" w:hAnsi="Calibri"/>
      <w:color w:val="auto"/>
      <w:sz w:val="20"/>
      <w:szCs w:val="20"/>
    </w:rPr>
  </w:style>
  <w:style w:type="character" w:customStyle="1" w:styleId="CommentaireCar">
    <w:name w:val="Commentaire Car"/>
    <w:basedOn w:val="Policepardfaut"/>
    <w:link w:val="Commentaire"/>
    <w:uiPriority w:val="99"/>
    <w:rsid w:val="00427790"/>
    <w:rPr>
      <w:rFonts w:ascii="Calibri" w:eastAsia="Calibri" w:hAnsi="Calibri" w:cs="Times New Roman"/>
      <w:sz w:val="20"/>
      <w:szCs w:val="20"/>
    </w:rPr>
  </w:style>
  <w:style w:type="table" w:customStyle="1" w:styleId="Listeclaire-Accent11">
    <w:name w:val="Liste claire - Accent 11"/>
    <w:basedOn w:val="TableauNorma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42779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27790"/>
    <w:pPr>
      <w:jc w:val="both"/>
    </w:pPr>
    <w:rPr>
      <w:rFonts w:ascii="Verdana" w:hAnsi="Verdana"/>
      <w:b/>
      <w:bCs/>
      <w:color w:val="575757"/>
    </w:rPr>
  </w:style>
  <w:style w:type="character" w:customStyle="1" w:styleId="ObjetducommentaireCar">
    <w:name w:val="Objet du commentaire Car"/>
    <w:basedOn w:val="CommentaireCar"/>
    <w:link w:val="Objetducommentaire"/>
    <w:uiPriority w:val="99"/>
    <w:semiHidden/>
    <w:rsid w:val="00427790"/>
    <w:rPr>
      <w:rFonts w:ascii="Verdana" w:eastAsia="Calibri" w:hAnsi="Verdana" w:cs="Times New Roman"/>
      <w:b/>
      <w:bCs/>
      <w:color w:val="575757"/>
      <w:sz w:val="20"/>
      <w:szCs w:val="20"/>
    </w:rPr>
  </w:style>
  <w:style w:type="paragraph" w:styleId="Rvision">
    <w:name w:val="Revision"/>
    <w:hidden/>
    <w:uiPriority w:val="99"/>
    <w:semiHidden/>
    <w:rsid w:val="00427790"/>
    <w:pPr>
      <w:spacing w:after="0" w:line="240" w:lineRule="auto"/>
    </w:pPr>
    <w:rPr>
      <w:rFonts w:ascii="Verdana" w:eastAsia="Calibri" w:hAnsi="Verdana" w:cs="Times New Roman"/>
      <w:color w:val="575757"/>
      <w:sz w:val="18"/>
    </w:rPr>
  </w:style>
  <w:style w:type="paragraph" w:styleId="Notedefin">
    <w:name w:val="endnote text"/>
    <w:basedOn w:val="Normal"/>
    <w:link w:val="NotedefinCar"/>
    <w:uiPriority w:val="99"/>
    <w:semiHidden/>
    <w:unhideWhenUsed/>
    <w:rsid w:val="00427790"/>
    <w:pPr>
      <w:spacing w:after="0" w:line="240" w:lineRule="auto"/>
    </w:pPr>
    <w:rPr>
      <w:sz w:val="20"/>
      <w:szCs w:val="20"/>
    </w:rPr>
  </w:style>
  <w:style w:type="character" w:customStyle="1" w:styleId="NotedefinCar">
    <w:name w:val="Note de fin Car"/>
    <w:basedOn w:val="Policepardfaut"/>
    <w:link w:val="Notedefin"/>
    <w:uiPriority w:val="99"/>
    <w:semiHidden/>
    <w:rsid w:val="00427790"/>
    <w:rPr>
      <w:rFonts w:ascii="Verdana" w:eastAsia="Calibri" w:hAnsi="Verdana" w:cs="Times New Roman"/>
      <w:color w:val="575757"/>
      <w:sz w:val="20"/>
      <w:szCs w:val="20"/>
    </w:rPr>
  </w:style>
  <w:style w:type="character" w:styleId="Appeldenotedefin">
    <w:name w:val="endnote reference"/>
    <w:basedOn w:val="Policepardfaut"/>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mhp.be/en/human_use/medicines/medicines/research_development/ethic_committee/templates_informed_consen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gg-afmps.be/en/human_use/medicines/medicines/research_development/ethic_committee/templates_informed_consent/"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yperlink" Target="file:///C:\Users\jed\AppData\Roaming\Microsoft\Word\umn@afmps-fagg.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C23DB59-270E-4446-8CF9-303067BC361A}" type="presOf" srcId="{A40043D1-1983-4CE0-8415-1DC9A52C3A90}" destId="{980EBF50-E9CF-4A72-9A13-A8261FFA9F82}" srcOrd="0" destOrd="0" presId="urn:microsoft.com/office/officeart/2005/8/layout/hProcess11"/>
    <dgm:cxn modelId="{9F212931-A51E-4B3C-8356-AAA058AA611F}" type="presOf" srcId="{91FCEC4B-82ED-4AAC-94DE-E827F3F7AA71}" destId="{875855E8-25AA-4E9C-BCAF-88188021CB19}"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E6ED8552-2D60-4D17-9293-FB7B4CB39989}" type="presOf" srcId="{3284DC3D-173F-4701-AC9C-B717444E6A95}" destId="{035032B3-7D8C-4862-A9A0-D8A68F72F083}" srcOrd="0" destOrd="0" presId="urn:microsoft.com/office/officeart/2005/8/layout/hProcess11"/>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6571EE84-446F-48B6-A414-6A9AE37C958F}" type="presOf" srcId="{23B2986C-A562-47AB-B7FD-F8C3B27B84E8}" destId="{11415A43-9581-40DE-A8F0-7EED80A8904E}" srcOrd="0" destOrd="0" presId="urn:microsoft.com/office/officeart/2005/8/layout/hProcess11"/>
    <dgm:cxn modelId="{F9B30EFD-B49C-43C4-A35C-5F732EED29DB}" type="presOf" srcId="{D57D69C3-E6BE-4C67-99B3-F486BD9CEB72}" destId="{59524C2D-4645-4F6A-BBDB-59C038F97916}"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1E1850E7-8DBC-45CA-ACAD-6996A52CB7FB}" srcId="{23B2986C-A562-47AB-B7FD-F8C3B27B84E8}" destId="{BB799A15-3D7B-40D9-B0A7-8E3235B370E9}" srcOrd="5" destOrd="0" parTransId="{2F35D625-748D-416A-8985-AE2E1BBFAF8D}" sibTransId="{96AF92CF-2A7E-4BBB-B6F0-3494FE71AB29}"/>
    <dgm:cxn modelId="{E9C54288-DCEC-41DD-9D38-0FE69E7C1E32}" srcId="{23B2986C-A562-47AB-B7FD-F8C3B27B84E8}" destId="{4A03F908-94CC-425A-9C48-341961AF4483}" srcOrd="1" destOrd="0" parTransId="{C457EF1B-644D-4942-944A-17C73586FE53}" sibTransId="{E45F44A9-7954-4101-9368-A867FFC02445}"/>
    <dgm:cxn modelId="{081E8C61-BA48-4C4C-88D3-56D23CEF4B96}" type="presOf" srcId="{4A03F908-94CC-425A-9C48-341961AF4483}" destId="{DE4F0433-5787-4488-AFAA-AE87C740280D}"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8C7D2445-E04E-4E07-BFCD-68CCFA3C698F}" srcId="{23B2986C-A562-47AB-B7FD-F8C3B27B84E8}" destId="{91FCEC4B-82ED-4AAC-94DE-E827F3F7AA71}" srcOrd="6" destOrd="0" parTransId="{83ABFF48-B41B-4EBA-BF35-6C6BF8A274B4}" sibTransId="{22999943-7E5F-402C-89FE-4200D8C57806}"/>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62919" y="1144612"/>
          <a:ext cx="6064507" cy="792429"/>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5462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Approval date, T0</a:t>
          </a:r>
        </a:p>
      </dsp:txBody>
      <dsp:txXfrm>
        <a:off x="54628" y="0"/>
        <a:ext cx="774367" cy="1232662"/>
      </dsp:txXfrm>
    </dsp:sp>
    <dsp:sp modelId="{6920B314-FEDF-4CE3-8AB0-7E9B47029FEC}">
      <dsp:nvSpPr>
        <dsp:cNvPr id="0" name=""/>
        <dsp:cNvSpPr/>
      </dsp:nvSpPr>
      <dsp:spPr>
        <a:xfrm>
          <a:off x="287729" y="1386744"/>
          <a:ext cx="308165" cy="3081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152720" y="184165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Cut-off date, T0+6m</a:t>
          </a:r>
        </a:p>
      </dsp:txBody>
      <dsp:txXfrm>
        <a:off x="1152720" y="1841658"/>
        <a:ext cx="774367" cy="1232662"/>
      </dsp:txXfrm>
    </dsp:sp>
    <dsp:sp modelId="{07BC0606-CA87-4862-9911-8CEFF5849CD6}">
      <dsp:nvSpPr>
        <dsp:cNvPr id="0" name=""/>
        <dsp:cNvSpPr/>
      </dsp:nvSpPr>
      <dsp:spPr>
        <a:xfrm>
          <a:off x="1409024" y="1379407"/>
          <a:ext cx="308165" cy="3081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653658" y="1466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submission, T0+7m</a:t>
          </a:r>
        </a:p>
      </dsp:txBody>
      <dsp:txXfrm>
        <a:off x="1653658" y="14668"/>
        <a:ext cx="774367" cy="1232662"/>
      </dsp:txXfrm>
    </dsp:sp>
    <dsp:sp modelId="{C09C784F-A594-435D-9B94-705EA4258823}">
      <dsp:nvSpPr>
        <dsp:cNvPr id="0" name=""/>
        <dsp:cNvSpPr/>
      </dsp:nvSpPr>
      <dsp:spPr>
        <a:xfrm>
          <a:off x="1869879" y="1372069"/>
          <a:ext cx="308165" cy="3081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643122"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re-evaluation, T0+9m</a:t>
          </a:r>
        </a:p>
      </dsp:txBody>
      <dsp:txXfrm>
        <a:off x="2643122" y="1848992"/>
        <a:ext cx="774367" cy="1232662"/>
      </dsp:txXfrm>
    </dsp:sp>
    <dsp:sp modelId="{6FFAFBA5-457E-4685-9FDA-DE02194EB5CB}">
      <dsp:nvSpPr>
        <dsp:cNvPr id="0" name=""/>
        <dsp:cNvSpPr/>
      </dsp:nvSpPr>
      <dsp:spPr>
        <a:xfrm>
          <a:off x="2888410" y="1386744"/>
          <a:ext cx="308165" cy="3081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45620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Cut-off date, T0+12m</a:t>
          </a:r>
        </a:p>
      </dsp:txBody>
      <dsp:txXfrm>
        <a:off x="3456208" y="0"/>
        <a:ext cx="774367" cy="1232662"/>
      </dsp:txXfrm>
    </dsp:sp>
    <dsp:sp modelId="{FA2E5E56-F5A3-47A7-AA85-83DCB2142791}">
      <dsp:nvSpPr>
        <dsp:cNvPr id="0" name=""/>
        <dsp:cNvSpPr/>
      </dsp:nvSpPr>
      <dsp:spPr>
        <a:xfrm>
          <a:off x="3701496" y="1386744"/>
          <a:ext cx="308165" cy="3081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269294"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t>Deadline for submission, T0+13m</a:t>
          </a:r>
        </a:p>
      </dsp:txBody>
      <dsp:txXfrm>
        <a:off x="4269294" y="1848992"/>
        <a:ext cx="774367" cy="1232662"/>
      </dsp:txXfrm>
    </dsp:sp>
    <dsp:sp modelId="{F4F40A36-D3E4-45A9-9E5C-723F67BD956B}">
      <dsp:nvSpPr>
        <dsp:cNvPr id="0" name=""/>
        <dsp:cNvSpPr/>
      </dsp:nvSpPr>
      <dsp:spPr>
        <a:xfrm>
          <a:off x="4514582" y="1386744"/>
          <a:ext cx="308165" cy="3081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4933144"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Deadline for re-evaluation, T0+15m</a:t>
          </a:r>
        </a:p>
      </dsp:txBody>
      <dsp:txXfrm>
        <a:off x="4933144" y="0"/>
        <a:ext cx="774367" cy="1232662"/>
      </dsp:txXfrm>
    </dsp:sp>
    <dsp:sp modelId="{0EA73CFC-01B6-4CEC-8357-399E905DF265}">
      <dsp:nvSpPr>
        <dsp:cNvPr id="0" name=""/>
        <dsp:cNvSpPr/>
      </dsp:nvSpPr>
      <dsp:spPr>
        <a:xfrm>
          <a:off x="5166245" y="1386744"/>
          <a:ext cx="308165" cy="3081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13A6-2BA1-477E-99D9-AD968347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3653</Words>
  <Characters>20825</Characters>
  <Application>Microsoft Office Word</Application>
  <DocSecurity>0</DocSecurity>
  <Lines>173</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Bruwier Tania</cp:lastModifiedBy>
  <cp:revision>2</cp:revision>
  <cp:lastPrinted>2019-06-17T11:48:00Z</cp:lastPrinted>
  <dcterms:created xsi:type="dcterms:W3CDTF">2020-02-11T08:57:00Z</dcterms:created>
  <dcterms:modified xsi:type="dcterms:W3CDTF">2020-02-11T08:57:00Z</dcterms:modified>
</cp:coreProperties>
</file>